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Ind w:w="-459" w:type="dxa"/>
        <w:tblLook w:val="04A0" w:firstRow="1" w:lastRow="0" w:firstColumn="1" w:lastColumn="0" w:noHBand="0" w:noVBand="1"/>
      </w:tblPr>
      <w:tblGrid>
        <w:gridCol w:w="5103"/>
        <w:gridCol w:w="5103"/>
      </w:tblGrid>
      <w:tr w:rsidR="00773E2C">
        <w:trPr>
          <w:trHeight w:val="1843"/>
        </w:trPr>
        <w:tc>
          <w:tcPr>
            <w:tcW w:w="5103" w:type="dxa"/>
          </w:tcPr>
          <w:p w:rsidR="00773E2C" w:rsidRPr="00D76B75" w:rsidRDefault="00805665">
            <w:pPr>
              <w:pStyle w:val="af7"/>
              <w:widowControl/>
              <w:tabs>
                <w:tab w:val="left" w:pos="2310"/>
              </w:tabs>
              <w:ind w:left="318" w:right="1008"/>
              <w:jc w:val="both"/>
              <w:rPr>
                <w:bCs/>
                <w:sz w:val="30"/>
              </w:rPr>
            </w:pPr>
            <w:r w:rsidRPr="00D76B75">
              <w:rPr>
                <w:bCs/>
                <w:sz w:val="30"/>
              </w:rPr>
              <w:t xml:space="preserve">Предварительно утвержден Наблюдательным советом </w:t>
            </w:r>
          </w:p>
          <w:p w:rsidR="00773E2C" w:rsidRPr="00D76B75" w:rsidRDefault="00805665">
            <w:pPr>
              <w:pStyle w:val="af7"/>
              <w:widowControl/>
              <w:ind w:left="318"/>
              <w:jc w:val="both"/>
              <w:rPr>
                <w:bCs/>
                <w:sz w:val="30"/>
              </w:rPr>
            </w:pPr>
            <w:r w:rsidRPr="00D76B75">
              <w:rPr>
                <w:bCs/>
                <w:sz w:val="30"/>
              </w:rPr>
              <w:t>ПАО «БАНК УРАЛСИБ»</w:t>
            </w:r>
          </w:p>
          <w:p w:rsidR="00773E2C" w:rsidRPr="00D76B75" w:rsidRDefault="00773E2C">
            <w:pPr>
              <w:pStyle w:val="af7"/>
              <w:widowControl/>
              <w:ind w:left="318"/>
              <w:jc w:val="both"/>
              <w:rPr>
                <w:bCs/>
                <w:sz w:val="30"/>
              </w:rPr>
            </w:pPr>
          </w:p>
          <w:p w:rsidR="00773E2C" w:rsidRPr="00D76B75" w:rsidRDefault="00805665">
            <w:pPr>
              <w:pStyle w:val="af7"/>
              <w:widowControl/>
              <w:ind w:left="318"/>
              <w:jc w:val="both"/>
              <w:rPr>
                <w:bCs/>
                <w:sz w:val="30"/>
              </w:rPr>
            </w:pPr>
            <w:r w:rsidRPr="00D76B75">
              <w:rPr>
                <w:bCs/>
                <w:sz w:val="30"/>
              </w:rPr>
              <w:t xml:space="preserve">Протокол № </w:t>
            </w:r>
            <w:r w:rsidR="00D164C5">
              <w:rPr>
                <w:bCs/>
                <w:sz w:val="30"/>
              </w:rPr>
              <w:t>10</w:t>
            </w:r>
            <w:r w:rsidRPr="00D76B75">
              <w:rPr>
                <w:bCs/>
                <w:color w:val="000000" w:themeColor="text1"/>
                <w:sz w:val="30"/>
              </w:rPr>
              <w:t xml:space="preserve"> от </w:t>
            </w:r>
            <w:r w:rsidR="00D164C5">
              <w:rPr>
                <w:bCs/>
                <w:color w:val="000000" w:themeColor="text1"/>
                <w:sz w:val="30"/>
              </w:rPr>
              <w:t>22</w:t>
            </w:r>
            <w:r w:rsidRPr="00D76B75">
              <w:rPr>
                <w:bCs/>
                <w:color w:val="000000" w:themeColor="text1"/>
                <w:sz w:val="30"/>
              </w:rPr>
              <w:t>.</w:t>
            </w:r>
            <w:r w:rsidR="00D164C5">
              <w:rPr>
                <w:bCs/>
                <w:color w:val="000000" w:themeColor="text1"/>
                <w:sz w:val="30"/>
              </w:rPr>
              <w:t>05</w:t>
            </w:r>
            <w:r w:rsidRPr="00D76B75">
              <w:rPr>
                <w:bCs/>
                <w:color w:val="000000" w:themeColor="text1"/>
                <w:sz w:val="30"/>
              </w:rPr>
              <w:t>.</w:t>
            </w:r>
            <w:r w:rsidRPr="00D76B75">
              <w:rPr>
                <w:bCs/>
                <w:sz w:val="30"/>
              </w:rPr>
              <w:t xml:space="preserve">2026 </w:t>
            </w:r>
          </w:p>
        </w:tc>
        <w:tc>
          <w:tcPr>
            <w:tcW w:w="5103" w:type="dxa"/>
          </w:tcPr>
          <w:p w:rsidR="00773E2C" w:rsidRPr="00D76B75" w:rsidRDefault="00805665">
            <w:pPr>
              <w:pStyle w:val="af7"/>
              <w:widowControl/>
              <w:ind w:left="318"/>
              <w:jc w:val="both"/>
              <w:rPr>
                <w:bCs/>
                <w:sz w:val="30"/>
              </w:rPr>
            </w:pPr>
            <w:r w:rsidRPr="00D76B75">
              <w:rPr>
                <w:bCs/>
                <w:sz w:val="30"/>
              </w:rPr>
              <w:t>Утвержден годовым заседанием</w:t>
            </w:r>
          </w:p>
          <w:p w:rsidR="00773E2C" w:rsidRPr="00D76B75" w:rsidRDefault="00805665">
            <w:pPr>
              <w:pStyle w:val="af7"/>
              <w:widowControl/>
              <w:ind w:left="318"/>
              <w:jc w:val="both"/>
              <w:rPr>
                <w:bCs/>
                <w:sz w:val="30"/>
              </w:rPr>
            </w:pPr>
            <w:r w:rsidRPr="00D76B75">
              <w:rPr>
                <w:bCs/>
                <w:sz w:val="30"/>
              </w:rPr>
              <w:t>Общего собрания акционеров</w:t>
            </w:r>
          </w:p>
          <w:p w:rsidR="00773E2C" w:rsidRPr="00D76B75" w:rsidRDefault="00805665">
            <w:pPr>
              <w:pStyle w:val="af7"/>
              <w:widowControl/>
              <w:ind w:left="318"/>
              <w:jc w:val="both"/>
              <w:rPr>
                <w:bCs/>
                <w:sz w:val="30"/>
              </w:rPr>
            </w:pPr>
            <w:r w:rsidRPr="00D76B75">
              <w:rPr>
                <w:bCs/>
                <w:sz w:val="30"/>
              </w:rPr>
              <w:t>ПАО «БАНК УРАЛСИБ»</w:t>
            </w:r>
          </w:p>
          <w:p w:rsidR="00773E2C" w:rsidRPr="00D76B75" w:rsidRDefault="00773E2C">
            <w:pPr>
              <w:pStyle w:val="af7"/>
              <w:widowControl/>
              <w:ind w:left="318"/>
              <w:jc w:val="both"/>
              <w:rPr>
                <w:bCs/>
                <w:sz w:val="30"/>
              </w:rPr>
            </w:pPr>
          </w:p>
          <w:p w:rsidR="00773E2C" w:rsidRDefault="00805665" w:rsidP="00723A64">
            <w:pPr>
              <w:pStyle w:val="af7"/>
              <w:widowControl/>
              <w:ind w:left="318"/>
              <w:jc w:val="both"/>
              <w:rPr>
                <w:bCs/>
                <w:sz w:val="30"/>
              </w:rPr>
            </w:pPr>
            <w:r w:rsidRPr="00D76B75">
              <w:rPr>
                <w:bCs/>
                <w:sz w:val="30"/>
              </w:rPr>
              <w:t xml:space="preserve">Протокол № </w:t>
            </w:r>
            <w:r w:rsidRPr="00D76B75">
              <w:rPr>
                <w:bCs/>
                <w:color w:val="000000" w:themeColor="text1"/>
                <w:sz w:val="30"/>
              </w:rPr>
              <w:t xml:space="preserve">1 от </w:t>
            </w:r>
            <w:r w:rsidR="00723A64">
              <w:rPr>
                <w:bCs/>
                <w:color w:val="000000" w:themeColor="text1"/>
                <w:sz w:val="30"/>
              </w:rPr>
              <w:t>26.06.</w:t>
            </w:r>
            <w:r w:rsidRPr="00D76B75">
              <w:rPr>
                <w:bCs/>
                <w:sz w:val="30"/>
              </w:rPr>
              <w:t>2026</w:t>
            </w:r>
          </w:p>
        </w:tc>
      </w:tr>
    </w:tbl>
    <w:p w:rsidR="00773E2C" w:rsidRDefault="00773E2C">
      <w:pPr>
        <w:pStyle w:val="af7"/>
        <w:widowControl/>
        <w:ind w:left="4820"/>
        <w:jc w:val="both"/>
        <w:rPr>
          <w:bCs/>
          <w:sz w:val="32"/>
          <w:highlight w:val="yellow"/>
        </w:rPr>
      </w:pPr>
    </w:p>
    <w:p w:rsidR="00773E2C" w:rsidRDefault="00773E2C">
      <w:pPr>
        <w:pStyle w:val="af7"/>
        <w:widowControl/>
        <w:ind w:left="4820"/>
        <w:jc w:val="both"/>
        <w:rPr>
          <w:bCs/>
          <w:sz w:val="32"/>
          <w:highlight w:val="yellow"/>
        </w:rPr>
      </w:pPr>
    </w:p>
    <w:p w:rsidR="00773E2C" w:rsidRDefault="00773E2C">
      <w:pPr>
        <w:pStyle w:val="af7"/>
        <w:widowControl/>
        <w:ind w:left="4820"/>
        <w:jc w:val="both"/>
        <w:rPr>
          <w:bCs/>
          <w:sz w:val="32"/>
          <w:highlight w:val="yellow"/>
        </w:rPr>
      </w:pPr>
    </w:p>
    <w:p w:rsidR="00773E2C" w:rsidRDefault="00773E2C">
      <w:pPr>
        <w:pStyle w:val="af7"/>
        <w:widowControl/>
        <w:ind w:left="4820"/>
        <w:jc w:val="both"/>
        <w:rPr>
          <w:bCs/>
          <w:sz w:val="32"/>
          <w:highlight w:val="yellow"/>
        </w:rPr>
      </w:pPr>
    </w:p>
    <w:p w:rsidR="00773E2C" w:rsidRDefault="00773E2C">
      <w:pPr>
        <w:pStyle w:val="af7"/>
        <w:widowControl/>
        <w:ind w:left="4820"/>
        <w:jc w:val="both"/>
        <w:rPr>
          <w:bCs/>
          <w:sz w:val="32"/>
          <w:highlight w:val="yellow"/>
        </w:rPr>
      </w:pPr>
    </w:p>
    <w:p w:rsidR="00773E2C" w:rsidRDefault="00773E2C">
      <w:pPr>
        <w:pStyle w:val="af7"/>
        <w:widowControl/>
        <w:ind w:left="4820"/>
        <w:jc w:val="both"/>
        <w:rPr>
          <w:bCs/>
          <w:sz w:val="32"/>
          <w:highlight w:val="yellow"/>
        </w:rPr>
      </w:pPr>
    </w:p>
    <w:p w:rsidR="00773E2C" w:rsidRDefault="00773E2C">
      <w:pPr>
        <w:pStyle w:val="af7"/>
        <w:widowControl/>
        <w:ind w:left="4820"/>
        <w:jc w:val="both"/>
        <w:rPr>
          <w:bCs/>
          <w:sz w:val="32"/>
          <w:highlight w:val="yellow"/>
        </w:rPr>
      </w:pPr>
    </w:p>
    <w:p w:rsidR="00773E2C" w:rsidRDefault="00773E2C">
      <w:pPr>
        <w:pStyle w:val="af7"/>
        <w:widowControl/>
        <w:ind w:left="4820"/>
        <w:jc w:val="both"/>
        <w:rPr>
          <w:bCs/>
          <w:sz w:val="32"/>
          <w:highlight w:val="yellow"/>
        </w:rPr>
      </w:pPr>
    </w:p>
    <w:p w:rsidR="00773E2C" w:rsidRDefault="00805665">
      <w:pPr>
        <w:pStyle w:val="13"/>
        <w:spacing w:before="0" w:after="0"/>
        <w:ind w:firstLine="0"/>
        <w:rPr>
          <w:rFonts w:ascii="Times New Roman" w:hAnsi="Times New Roman"/>
          <w:sz w:val="44"/>
        </w:rPr>
      </w:pPr>
      <w:r>
        <w:rPr>
          <w:rFonts w:ascii="Times New Roman" w:hAnsi="Times New Roman"/>
          <w:sz w:val="44"/>
        </w:rPr>
        <w:t>ГОДОВОЙ ОТЧЕТ</w:t>
      </w:r>
    </w:p>
    <w:p w:rsidR="00773E2C" w:rsidRDefault="00805665">
      <w:pPr>
        <w:pStyle w:val="af7"/>
        <w:widowControl/>
        <w:rPr>
          <w:b/>
          <w:kern w:val="28"/>
          <w:sz w:val="36"/>
        </w:rPr>
      </w:pPr>
      <w:r>
        <w:rPr>
          <w:b/>
          <w:kern w:val="28"/>
          <w:sz w:val="36"/>
        </w:rPr>
        <w:t>Публичного акционерного общества</w:t>
      </w:r>
    </w:p>
    <w:p w:rsidR="00773E2C" w:rsidRDefault="00805665">
      <w:pPr>
        <w:pStyle w:val="af7"/>
        <w:widowControl/>
        <w:rPr>
          <w:b/>
          <w:kern w:val="28"/>
          <w:sz w:val="36"/>
        </w:rPr>
      </w:pPr>
      <w:r>
        <w:rPr>
          <w:b/>
          <w:kern w:val="28"/>
          <w:sz w:val="36"/>
        </w:rPr>
        <w:t>«БАНК УРАЛСИБ»</w:t>
      </w:r>
    </w:p>
    <w:p w:rsidR="00773E2C" w:rsidRDefault="00805665">
      <w:pPr>
        <w:pStyle w:val="af7"/>
        <w:widowControl/>
        <w:rPr>
          <w:sz w:val="30"/>
        </w:rPr>
      </w:pPr>
      <w:r>
        <w:rPr>
          <w:b/>
          <w:kern w:val="28"/>
          <w:sz w:val="36"/>
        </w:rPr>
        <w:t>за 2025 год</w:t>
      </w:r>
    </w:p>
    <w:p w:rsidR="00773E2C" w:rsidRDefault="00773E2C">
      <w:pPr>
        <w:pStyle w:val="af7"/>
        <w:widowControl/>
        <w:ind w:left="4820"/>
        <w:jc w:val="both"/>
        <w:rPr>
          <w:bCs/>
          <w:sz w:val="32"/>
          <w:highlight w:val="yellow"/>
        </w:rPr>
      </w:pPr>
    </w:p>
    <w:p w:rsidR="00773E2C" w:rsidRDefault="00773E2C">
      <w:pPr>
        <w:pStyle w:val="af7"/>
        <w:widowControl/>
        <w:ind w:left="4820"/>
        <w:jc w:val="both"/>
        <w:rPr>
          <w:bCs/>
          <w:sz w:val="32"/>
          <w:highlight w:val="yellow"/>
        </w:rPr>
      </w:pPr>
    </w:p>
    <w:p w:rsidR="00773E2C" w:rsidRDefault="00773E2C">
      <w:pPr>
        <w:pStyle w:val="af7"/>
        <w:widowControl/>
        <w:ind w:left="4820"/>
        <w:jc w:val="both"/>
        <w:rPr>
          <w:bCs/>
          <w:sz w:val="32"/>
          <w:highlight w:val="yellow"/>
        </w:rPr>
      </w:pPr>
    </w:p>
    <w:p w:rsidR="00773E2C" w:rsidRDefault="00773E2C">
      <w:pPr>
        <w:pStyle w:val="af7"/>
        <w:widowControl/>
        <w:ind w:left="4820"/>
        <w:jc w:val="both"/>
        <w:rPr>
          <w:bCs/>
          <w:sz w:val="32"/>
          <w:highlight w:val="yellow"/>
        </w:rPr>
      </w:pPr>
    </w:p>
    <w:p w:rsidR="00773E2C" w:rsidRDefault="00773E2C">
      <w:pPr>
        <w:pStyle w:val="af7"/>
        <w:widowControl/>
        <w:ind w:left="4820"/>
        <w:jc w:val="both"/>
        <w:rPr>
          <w:bCs/>
          <w:sz w:val="32"/>
          <w:highlight w:val="yellow"/>
        </w:rPr>
      </w:pPr>
    </w:p>
    <w:p w:rsidR="00773E2C" w:rsidRDefault="00773E2C">
      <w:pPr>
        <w:pStyle w:val="af7"/>
        <w:widowControl/>
        <w:ind w:left="4820"/>
        <w:jc w:val="both"/>
        <w:rPr>
          <w:bCs/>
          <w:sz w:val="32"/>
          <w:highlight w:val="yellow"/>
        </w:rPr>
      </w:pPr>
    </w:p>
    <w:tbl>
      <w:tblPr>
        <w:tblW w:w="9648" w:type="dxa"/>
        <w:tblLook w:val="04A0" w:firstRow="1" w:lastRow="0" w:firstColumn="1" w:lastColumn="0" w:noHBand="0" w:noVBand="1"/>
      </w:tblPr>
      <w:tblGrid>
        <w:gridCol w:w="4619"/>
        <w:gridCol w:w="1407"/>
        <w:gridCol w:w="3622"/>
      </w:tblGrid>
      <w:tr w:rsidR="00773E2C">
        <w:tc>
          <w:tcPr>
            <w:tcW w:w="4619" w:type="dxa"/>
            <w:shd w:val="clear" w:color="auto" w:fill="auto"/>
          </w:tcPr>
          <w:p w:rsidR="00773E2C" w:rsidRDefault="00805665">
            <w:pPr>
              <w:pStyle w:val="af7"/>
              <w:widowControl/>
              <w:jc w:val="left"/>
              <w:rPr>
                <w:sz w:val="30"/>
              </w:rPr>
            </w:pPr>
            <w:r>
              <w:rPr>
                <w:sz w:val="30"/>
              </w:rPr>
              <w:t>Председатель Правления</w:t>
            </w:r>
          </w:p>
          <w:p w:rsidR="00773E2C" w:rsidRDefault="00805665">
            <w:pPr>
              <w:pStyle w:val="af7"/>
              <w:widowControl/>
              <w:jc w:val="left"/>
              <w:rPr>
                <w:sz w:val="30"/>
                <w:highlight w:val="yellow"/>
              </w:rPr>
            </w:pPr>
            <w:r>
              <w:rPr>
                <w:sz w:val="30"/>
              </w:rPr>
              <w:t>ПАО «БАНК УРАЛСИБ»</w:t>
            </w:r>
          </w:p>
        </w:tc>
        <w:tc>
          <w:tcPr>
            <w:tcW w:w="1407" w:type="dxa"/>
            <w:shd w:val="clear" w:color="auto" w:fill="auto"/>
          </w:tcPr>
          <w:p w:rsidR="00773E2C" w:rsidRDefault="00773E2C">
            <w:pPr>
              <w:pStyle w:val="af7"/>
              <w:widowControl/>
              <w:jc w:val="both"/>
              <w:rPr>
                <w:sz w:val="30"/>
              </w:rPr>
            </w:pPr>
          </w:p>
        </w:tc>
        <w:tc>
          <w:tcPr>
            <w:tcW w:w="3622" w:type="dxa"/>
            <w:shd w:val="clear" w:color="auto" w:fill="auto"/>
            <w:vAlign w:val="bottom"/>
          </w:tcPr>
          <w:p w:rsidR="00773E2C" w:rsidRDefault="00805665">
            <w:pPr>
              <w:pStyle w:val="af7"/>
              <w:widowControl/>
              <w:ind w:left="1062"/>
              <w:jc w:val="left"/>
              <w:rPr>
                <w:sz w:val="30"/>
              </w:rPr>
            </w:pPr>
            <w:r>
              <w:rPr>
                <w:sz w:val="30"/>
              </w:rPr>
              <w:t>А.В. Сазонов</w:t>
            </w:r>
          </w:p>
        </w:tc>
      </w:tr>
      <w:tr w:rsidR="00773E2C">
        <w:tc>
          <w:tcPr>
            <w:tcW w:w="4619" w:type="dxa"/>
          </w:tcPr>
          <w:p w:rsidR="00773E2C" w:rsidRDefault="00773E2C">
            <w:pPr>
              <w:pStyle w:val="af7"/>
              <w:widowControl/>
              <w:jc w:val="both"/>
              <w:rPr>
                <w:sz w:val="30"/>
              </w:rPr>
            </w:pPr>
          </w:p>
        </w:tc>
        <w:tc>
          <w:tcPr>
            <w:tcW w:w="1407" w:type="dxa"/>
          </w:tcPr>
          <w:p w:rsidR="00773E2C" w:rsidRDefault="00773E2C">
            <w:pPr>
              <w:pStyle w:val="af7"/>
              <w:widowControl/>
              <w:jc w:val="both"/>
              <w:rPr>
                <w:sz w:val="30"/>
              </w:rPr>
            </w:pPr>
          </w:p>
        </w:tc>
        <w:tc>
          <w:tcPr>
            <w:tcW w:w="3622" w:type="dxa"/>
            <w:vAlign w:val="bottom"/>
          </w:tcPr>
          <w:p w:rsidR="00773E2C" w:rsidRDefault="00773E2C">
            <w:pPr>
              <w:pStyle w:val="af7"/>
              <w:widowControl/>
              <w:ind w:left="1062"/>
              <w:jc w:val="left"/>
              <w:rPr>
                <w:sz w:val="30"/>
              </w:rPr>
            </w:pPr>
          </w:p>
        </w:tc>
      </w:tr>
      <w:tr w:rsidR="00773E2C">
        <w:tc>
          <w:tcPr>
            <w:tcW w:w="4619" w:type="dxa"/>
          </w:tcPr>
          <w:p w:rsidR="00773E2C" w:rsidRDefault="00773E2C">
            <w:pPr>
              <w:pStyle w:val="af7"/>
              <w:widowControl/>
              <w:jc w:val="both"/>
              <w:rPr>
                <w:sz w:val="30"/>
              </w:rPr>
            </w:pPr>
          </w:p>
          <w:p w:rsidR="00773E2C" w:rsidRDefault="00805665">
            <w:pPr>
              <w:pStyle w:val="af7"/>
              <w:widowControl/>
              <w:jc w:val="both"/>
              <w:rPr>
                <w:sz w:val="30"/>
              </w:rPr>
            </w:pPr>
            <w:r>
              <w:rPr>
                <w:sz w:val="30"/>
              </w:rPr>
              <w:t xml:space="preserve">Главный бухгалтер </w:t>
            </w:r>
          </w:p>
          <w:p w:rsidR="00773E2C" w:rsidRDefault="00805665">
            <w:pPr>
              <w:pStyle w:val="af7"/>
              <w:widowControl/>
              <w:jc w:val="both"/>
              <w:rPr>
                <w:sz w:val="30"/>
              </w:rPr>
            </w:pPr>
            <w:r>
              <w:rPr>
                <w:sz w:val="30"/>
              </w:rPr>
              <w:t>ПАО «БАНК УРАЛСИБ»</w:t>
            </w:r>
          </w:p>
        </w:tc>
        <w:tc>
          <w:tcPr>
            <w:tcW w:w="1407" w:type="dxa"/>
          </w:tcPr>
          <w:p w:rsidR="00773E2C" w:rsidRDefault="00773E2C">
            <w:pPr>
              <w:pStyle w:val="af7"/>
              <w:widowControl/>
              <w:jc w:val="both"/>
              <w:rPr>
                <w:sz w:val="30"/>
              </w:rPr>
            </w:pPr>
          </w:p>
        </w:tc>
        <w:tc>
          <w:tcPr>
            <w:tcW w:w="3622" w:type="dxa"/>
            <w:vAlign w:val="bottom"/>
          </w:tcPr>
          <w:p w:rsidR="00773E2C" w:rsidRDefault="00805665">
            <w:pPr>
              <w:pStyle w:val="af7"/>
              <w:widowControl/>
              <w:ind w:left="1062"/>
              <w:jc w:val="left"/>
              <w:rPr>
                <w:sz w:val="30"/>
              </w:rPr>
            </w:pPr>
            <w:r>
              <w:rPr>
                <w:sz w:val="30"/>
              </w:rPr>
              <w:t>Р.С. Конеев</w:t>
            </w:r>
          </w:p>
        </w:tc>
      </w:tr>
    </w:tbl>
    <w:p w:rsidR="00773E2C" w:rsidRDefault="00773E2C">
      <w:pPr>
        <w:pStyle w:val="af7"/>
        <w:widowControl/>
        <w:ind w:left="4820"/>
        <w:jc w:val="both"/>
        <w:rPr>
          <w:bCs/>
          <w:sz w:val="32"/>
          <w:highlight w:val="yellow"/>
        </w:rPr>
      </w:pPr>
    </w:p>
    <w:p w:rsidR="00773E2C" w:rsidRDefault="00773E2C">
      <w:pPr>
        <w:pStyle w:val="af7"/>
        <w:widowControl/>
        <w:ind w:left="4820"/>
        <w:jc w:val="both"/>
        <w:rPr>
          <w:bCs/>
          <w:sz w:val="32"/>
          <w:highlight w:val="yellow"/>
        </w:rPr>
      </w:pPr>
    </w:p>
    <w:p w:rsidR="00773E2C" w:rsidRDefault="00773E2C">
      <w:pPr>
        <w:pStyle w:val="af7"/>
        <w:widowControl/>
        <w:ind w:left="4820"/>
        <w:jc w:val="both"/>
        <w:rPr>
          <w:bCs/>
          <w:sz w:val="32"/>
          <w:highlight w:val="yellow"/>
        </w:rPr>
      </w:pPr>
    </w:p>
    <w:p w:rsidR="00773E2C" w:rsidRDefault="00773E2C">
      <w:pPr>
        <w:pStyle w:val="af7"/>
        <w:widowControl/>
        <w:ind w:left="4820"/>
        <w:jc w:val="both"/>
        <w:rPr>
          <w:bCs/>
          <w:sz w:val="32"/>
          <w:highlight w:val="yellow"/>
        </w:rPr>
      </w:pPr>
    </w:p>
    <w:p w:rsidR="00773E2C" w:rsidRDefault="00773E2C">
      <w:pPr>
        <w:pStyle w:val="af7"/>
        <w:widowControl/>
        <w:ind w:left="4820"/>
        <w:jc w:val="both"/>
        <w:rPr>
          <w:bCs/>
          <w:sz w:val="32"/>
          <w:highlight w:val="yellow"/>
        </w:rPr>
      </w:pPr>
    </w:p>
    <w:p w:rsidR="00773E2C" w:rsidRDefault="00773E2C">
      <w:pPr>
        <w:pStyle w:val="af7"/>
        <w:widowControl/>
        <w:ind w:left="4820"/>
        <w:jc w:val="both"/>
        <w:rPr>
          <w:bCs/>
          <w:sz w:val="32"/>
          <w:highlight w:val="yellow"/>
        </w:rPr>
      </w:pPr>
    </w:p>
    <w:p w:rsidR="00773E2C" w:rsidRDefault="00773E2C">
      <w:pPr>
        <w:pStyle w:val="af7"/>
        <w:widowControl/>
        <w:ind w:left="4820"/>
        <w:jc w:val="both"/>
        <w:rPr>
          <w:bCs/>
          <w:sz w:val="32"/>
          <w:highlight w:val="yellow"/>
        </w:rPr>
      </w:pPr>
    </w:p>
    <w:p w:rsidR="00773E2C" w:rsidRDefault="00773E2C">
      <w:pPr>
        <w:pStyle w:val="af7"/>
        <w:widowControl/>
        <w:ind w:left="4820"/>
        <w:jc w:val="both"/>
        <w:rPr>
          <w:bCs/>
          <w:sz w:val="32"/>
          <w:highlight w:val="yellow"/>
        </w:rPr>
      </w:pPr>
    </w:p>
    <w:p w:rsidR="00773E2C" w:rsidRDefault="00773E2C">
      <w:pPr>
        <w:pStyle w:val="af7"/>
        <w:widowControl/>
        <w:ind w:left="4820"/>
        <w:jc w:val="both"/>
        <w:rPr>
          <w:bCs/>
          <w:sz w:val="32"/>
          <w:highlight w:val="yellow"/>
        </w:rPr>
      </w:pPr>
    </w:p>
    <w:p w:rsidR="00773E2C" w:rsidRDefault="00805665">
      <w:pPr>
        <w:jc w:val="center"/>
        <w:rPr>
          <w:sz w:val="30"/>
        </w:rPr>
      </w:pPr>
      <w:r>
        <w:rPr>
          <w:noProof/>
          <w:sz w:val="30"/>
        </w:rPr>
        <mc:AlternateContent>
          <mc:Choice Requires="wps">
            <w:drawing>
              <wp:anchor distT="0" distB="0" distL="114300" distR="114300" simplePos="0" relativeHeight="251659264" behindDoc="0" locked="0" layoutInCell="1" allowOverlap="1" wp14:anchorId="32317B88" wp14:editId="2F5CEFB7">
                <wp:simplePos x="0" y="0"/>
                <wp:positionH relativeFrom="column">
                  <wp:posOffset>4959985</wp:posOffset>
                </wp:positionH>
                <wp:positionV relativeFrom="paragraph">
                  <wp:posOffset>140970</wp:posOffset>
                </wp:positionV>
                <wp:extent cx="1294130" cy="560705"/>
                <wp:effectExtent l="0" t="0" r="4445"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4130" cy="560705"/>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01C1C8AE" id="Rectangle 2" o:spid="_x0000_s1026" style="position:absolute;margin-left:390.55pt;margin-top:11.1pt;width:101.9pt;height:44.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" stroked="f"/>
            </w:pict>
          </mc:Fallback>
        </mc:AlternateContent>
      </w:r>
      <w:r>
        <w:rPr>
          <w:sz w:val="30"/>
        </w:rPr>
        <w:t>Москва 20</w:t>
      </w:r>
      <w:r>
        <w:rPr>
          <w:sz w:val="30"/>
          <w:lang w:val="en-US"/>
        </w:rPr>
        <w:t>2</w:t>
      </w:r>
      <w:r>
        <w:rPr>
          <w:sz w:val="30"/>
        </w:rPr>
        <w:t>6</w:t>
      </w:r>
    </w:p>
    <w:p w:rsidR="00773E2C" w:rsidRPr="003272D1" w:rsidRDefault="002C5BAB">
      <w:pPr>
        <w:pStyle w:val="18"/>
        <w:jc w:val="center"/>
        <w:rPr>
          <w:rFonts w:ascii="Times New Roman" w:hAnsi="Times New Roman"/>
          <w:color w:val="auto"/>
          <w:sz w:val="22"/>
          <w:szCs w:val="22"/>
          <w:lang w:val="ru-RU"/>
        </w:rPr>
      </w:pPr>
      <w:r>
        <w:rPr>
          <w:rFonts w:ascii="Times New Roman" w:hAnsi="Times New Roman"/>
          <w:color w:val="auto"/>
          <w:sz w:val="22"/>
          <w:szCs w:val="22"/>
          <w:lang w:val="ru-RU"/>
        </w:rPr>
        <w:lastRenderedPageBreak/>
        <w:t>СОДЕРЖАНИЕ</w:t>
      </w:r>
    </w:p>
    <w:p w:rsidR="00773E2C" w:rsidRDefault="00773E2C">
      <w:pPr>
        <w:rPr>
          <w:lang w:val="zh-CN" w:eastAsia="zh-CN"/>
        </w:rPr>
      </w:pPr>
    </w:p>
    <w:p w:rsidR="0068254E" w:rsidRPr="0068254E" w:rsidRDefault="00805665">
      <w:pPr>
        <w:pStyle w:val="27"/>
        <w:rPr>
          <w:rFonts w:eastAsia="Calibri"/>
          <w:b w:val="0"/>
          <w:smallCaps w:val="0"/>
          <w:noProof/>
          <w:sz w:val="22"/>
          <w:lang w:eastAsia="en-US"/>
        </w:rPr>
      </w:pPr>
      <w:r w:rsidRPr="00DC124F">
        <w:rPr>
          <w:rFonts w:eastAsia="Calibri"/>
          <w:b w:val="0"/>
          <w:smallCaps w:val="0"/>
          <w:sz w:val="22"/>
          <w:lang w:eastAsia="en-US"/>
        </w:rPr>
        <w:fldChar w:fldCharType="begin"/>
      </w:r>
      <w:r w:rsidRPr="00DC124F">
        <w:rPr>
          <w:rFonts w:eastAsia="Calibri"/>
          <w:b w:val="0"/>
          <w:smallCaps w:val="0"/>
          <w:sz w:val="22"/>
          <w:lang w:eastAsia="en-US"/>
        </w:rPr>
        <w:instrText xml:space="preserve"> TOC \o "1-3" \h \z \u </w:instrText>
      </w:r>
      <w:r w:rsidRPr="00DC124F">
        <w:rPr>
          <w:rFonts w:eastAsia="Calibri"/>
          <w:b w:val="0"/>
          <w:smallCaps w:val="0"/>
          <w:sz w:val="22"/>
          <w:lang w:eastAsia="en-US"/>
        </w:rPr>
        <w:fldChar w:fldCharType="separate"/>
      </w:r>
      <w:hyperlink w:anchor="_Toc229052183" w:history="1">
        <w:r w:rsidR="0068254E" w:rsidRPr="0068254E">
          <w:rPr>
            <w:rFonts w:eastAsia="Calibri"/>
            <w:b w:val="0"/>
            <w:smallCaps w:val="0"/>
            <w:noProof/>
            <w:sz w:val="22"/>
            <w:lang w:eastAsia="en-US"/>
          </w:rPr>
          <w:t>1. Обращение Председателя Правления</w:t>
        </w:r>
        <w:r w:rsidR="0068254E" w:rsidRPr="0068254E">
          <w:rPr>
            <w:rFonts w:eastAsia="Calibri"/>
            <w:b w:val="0"/>
            <w:smallCaps w:val="0"/>
            <w:noProof/>
            <w:webHidden/>
            <w:sz w:val="22"/>
            <w:lang w:eastAsia="en-US"/>
          </w:rPr>
          <w:tab/>
        </w:r>
        <w:r w:rsidR="0068254E" w:rsidRPr="0068254E">
          <w:rPr>
            <w:rFonts w:eastAsia="Calibri"/>
            <w:b w:val="0"/>
            <w:smallCaps w:val="0"/>
            <w:noProof/>
            <w:webHidden/>
            <w:sz w:val="22"/>
            <w:lang w:eastAsia="en-US"/>
          </w:rPr>
          <w:fldChar w:fldCharType="begin"/>
        </w:r>
        <w:r w:rsidR="0068254E" w:rsidRPr="0068254E">
          <w:rPr>
            <w:rFonts w:eastAsia="Calibri"/>
            <w:b w:val="0"/>
            <w:smallCaps w:val="0"/>
            <w:noProof/>
            <w:webHidden/>
            <w:sz w:val="22"/>
            <w:lang w:eastAsia="en-US"/>
          </w:rPr>
          <w:instrText xml:space="preserve"> PAGEREF _Toc229052183 \h </w:instrText>
        </w:r>
        <w:r w:rsidR="0068254E" w:rsidRPr="0068254E">
          <w:rPr>
            <w:rFonts w:eastAsia="Calibri"/>
            <w:b w:val="0"/>
            <w:smallCaps w:val="0"/>
            <w:noProof/>
            <w:webHidden/>
            <w:sz w:val="22"/>
            <w:lang w:eastAsia="en-US"/>
          </w:rPr>
        </w:r>
        <w:r w:rsidR="0068254E" w:rsidRPr="0068254E">
          <w:rPr>
            <w:rFonts w:eastAsia="Calibri"/>
            <w:b w:val="0"/>
            <w:smallCaps w:val="0"/>
            <w:noProof/>
            <w:webHidden/>
            <w:sz w:val="22"/>
            <w:lang w:eastAsia="en-US"/>
          </w:rPr>
          <w:fldChar w:fldCharType="separate"/>
        </w:r>
        <w:r w:rsidR="005D6701">
          <w:rPr>
            <w:rFonts w:eastAsia="Calibri"/>
            <w:b w:val="0"/>
            <w:smallCaps w:val="0"/>
            <w:noProof/>
            <w:webHidden/>
            <w:sz w:val="22"/>
            <w:lang w:eastAsia="en-US"/>
          </w:rPr>
          <w:t>3</w:t>
        </w:r>
        <w:r w:rsidR="0068254E" w:rsidRPr="0068254E">
          <w:rPr>
            <w:rFonts w:eastAsia="Calibri"/>
            <w:b w:val="0"/>
            <w:smallCaps w:val="0"/>
            <w:noProof/>
            <w:webHidden/>
            <w:sz w:val="22"/>
            <w:lang w:eastAsia="en-US"/>
          </w:rPr>
          <w:fldChar w:fldCharType="end"/>
        </w:r>
      </w:hyperlink>
    </w:p>
    <w:p w:rsidR="0068254E" w:rsidRPr="0068254E" w:rsidRDefault="009404FC">
      <w:pPr>
        <w:pStyle w:val="27"/>
        <w:rPr>
          <w:rFonts w:eastAsia="Calibri"/>
          <w:b w:val="0"/>
          <w:smallCaps w:val="0"/>
          <w:noProof/>
          <w:sz w:val="22"/>
          <w:lang w:eastAsia="en-US"/>
        </w:rPr>
      </w:pPr>
      <w:hyperlink w:anchor="_Toc229052184" w:history="1">
        <w:r w:rsidR="0068254E" w:rsidRPr="0068254E">
          <w:rPr>
            <w:rFonts w:eastAsia="Calibri"/>
            <w:b w:val="0"/>
            <w:smallCaps w:val="0"/>
            <w:noProof/>
            <w:sz w:val="22"/>
            <w:lang w:eastAsia="en-US"/>
          </w:rPr>
          <w:t>2. Банк и Банковская группа</w:t>
        </w:r>
        <w:r w:rsidR="0068254E" w:rsidRPr="0068254E">
          <w:rPr>
            <w:rFonts w:eastAsia="Calibri"/>
            <w:b w:val="0"/>
            <w:smallCaps w:val="0"/>
            <w:noProof/>
            <w:webHidden/>
            <w:sz w:val="22"/>
            <w:lang w:eastAsia="en-US"/>
          </w:rPr>
          <w:tab/>
        </w:r>
        <w:r w:rsidR="0068254E" w:rsidRPr="0068254E">
          <w:rPr>
            <w:rFonts w:eastAsia="Calibri"/>
            <w:b w:val="0"/>
            <w:smallCaps w:val="0"/>
            <w:noProof/>
            <w:webHidden/>
            <w:sz w:val="22"/>
            <w:lang w:eastAsia="en-US"/>
          </w:rPr>
          <w:fldChar w:fldCharType="begin"/>
        </w:r>
        <w:r w:rsidR="0068254E" w:rsidRPr="0068254E">
          <w:rPr>
            <w:rFonts w:eastAsia="Calibri"/>
            <w:b w:val="0"/>
            <w:smallCaps w:val="0"/>
            <w:noProof/>
            <w:webHidden/>
            <w:sz w:val="22"/>
            <w:lang w:eastAsia="en-US"/>
          </w:rPr>
          <w:instrText xml:space="preserve"> PAGEREF _Toc229052184 \h </w:instrText>
        </w:r>
        <w:r w:rsidR="0068254E" w:rsidRPr="0068254E">
          <w:rPr>
            <w:rFonts w:eastAsia="Calibri"/>
            <w:b w:val="0"/>
            <w:smallCaps w:val="0"/>
            <w:noProof/>
            <w:webHidden/>
            <w:sz w:val="22"/>
            <w:lang w:eastAsia="en-US"/>
          </w:rPr>
        </w:r>
        <w:r w:rsidR="0068254E" w:rsidRPr="0068254E">
          <w:rPr>
            <w:rFonts w:eastAsia="Calibri"/>
            <w:b w:val="0"/>
            <w:smallCaps w:val="0"/>
            <w:noProof/>
            <w:webHidden/>
            <w:sz w:val="22"/>
            <w:lang w:eastAsia="en-US"/>
          </w:rPr>
          <w:fldChar w:fldCharType="separate"/>
        </w:r>
        <w:r w:rsidR="005D6701">
          <w:rPr>
            <w:rFonts w:eastAsia="Calibri"/>
            <w:b w:val="0"/>
            <w:smallCaps w:val="0"/>
            <w:noProof/>
            <w:webHidden/>
            <w:sz w:val="22"/>
            <w:lang w:eastAsia="en-US"/>
          </w:rPr>
          <w:t>3</w:t>
        </w:r>
        <w:r w:rsidR="0068254E" w:rsidRPr="0068254E">
          <w:rPr>
            <w:rFonts w:eastAsia="Calibri"/>
            <w:b w:val="0"/>
            <w:smallCaps w:val="0"/>
            <w:noProof/>
            <w:webHidden/>
            <w:sz w:val="22"/>
            <w:lang w:eastAsia="en-US"/>
          </w:rPr>
          <w:fldChar w:fldCharType="end"/>
        </w:r>
      </w:hyperlink>
    </w:p>
    <w:p w:rsidR="0068254E" w:rsidRPr="0068254E" w:rsidRDefault="009404FC">
      <w:pPr>
        <w:pStyle w:val="27"/>
        <w:rPr>
          <w:rFonts w:eastAsia="Calibri"/>
          <w:b w:val="0"/>
          <w:smallCaps w:val="0"/>
          <w:noProof/>
          <w:sz w:val="22"/>
          <w:lang w:eastAsia="en-US"/>
        </w:rPr>
      </w:pPr>
      <w:hyperlink w:anchor="_Toc229052185" w:history="1">
        <w:r w:rsidR="0068254E" w:rsidRPr="0068254E">
          <w:rPr>
            <w:rFonts w:eastAsia="Calibri"/>
            <w:b w:val="0"/>
            <w:smallCaps w:val="0"/>
            <w:noProof/>
            <w:sz w:val="22"/>
            <w:lang w:eastAsia="en-US"/>
          </w:rPr>
          <w:t>3. Стратегический отчет</w:t>
        </w:r>
        <w:r w:rsidR="0068254E" w:rsidRPr="0068254E">
          <w:rPr>
            <w:rFonts w:eastAsia="Calibri"/>
            <w:b w:val="0"/>
            <w:smallCaps w:val="0"/>
            <w:noProof/>
            <w:webHidden/>
            <w:sz w:val="22"/>
            <w:lang w:eastAsia="en-US"/>
          </w:rPr>
          <w:tab/>
        </w:r>
        <w:r w:rsidR="0068254E" w:rsidRPr="0068254E">
          <w:rPr>
            <w:rFonts w:eastAsia="Calibri"/>
            <w:b w:val="0"/>
            <w:smallCaps w:val="0"/>
            <w:noProof/>
            <w:webHidden/>
            <w:sz w:val="22"/>
            <w:lang w:eastAsia="en-US"/>
          </w:rPr>
          <w:fldChar w:fldCharType="begin"/>
        </w:r>
        <w:r w:rsidR="0068254E" w:rsidRPr="0068254E">
          <w:rPr>
            <w:rFonts w:eastAsia="Calibri"/>
            <w:b w:val="0"/>
            <w:smallCaps w:val="0"/>
            <w:noProof/>
            <w:webHidden/>
            <w:sz w:val="22"/>
            <w:lang w:eastAsia="en-US"/>
          </w:rPr>
          <w:instrText xml:space="preserve"> PAGEREF _Toc229052185 \h </w:instrText>
        </w:r>
        <w:r w:rsidR="0068254E" w:rsidRPr="0068254E">
          <w:rPr>
            <w:rFonts w:eastAsia="Calibri"/>
            <w:b w:val="0"/>
            <w:smallCaps w:val="0"/>
            <w:noProof/>
            <w:webHidden/>
            <w:sz w:val="22"/>
            <w:lang w:eastAsia="en-US"/>
          </w:rPr>
        </w:r>
        <w:r w:rsidR="0068254E" w:rsidRPr="0068254E">
          <w:rPr>
            <w:rFonts w:eastAsia="Calibri"/>
            <w:b w:val="0"/>
            <w:smallCaps w:val="0"/>
            <w:noProof/>
            <w:webHidden/>
            <w:sz w:val="22"/>
            <w:lang w:eastAsia="en-US"/>
          </w:rPr>
          <w:fldChar w:fldCharType="separate"/>
        </w:r>
        <w:r w:rsidR="005D6701">
          <w:rPr>
            <w:rFonts w:eastAsia="Calibri"/>
            <w:b w:val="0"/>
            <w:smallCaps w:val="0"/>
            <w:noProof/>
            <w:webHidden/>
            <w:sz w:val="22"/>
            <w:lang w:eastAsia="en-US"/>
          </w:rPr>
          <w:t>6</w:t>
        </w:r>
        <w:r w:rsidR="0068254E" w:rsidRPr="0068254E">
          <w:rPr>
            <w:rFonts w:eastAsia="Calibri"/>
            <w:b w:val="0"/>
            <w:smallCaps w:val="0"/>
            <w:noProof/>
            <w:webHidden/>
            <w:sz w:val="22"/>
            <w:lang w:eastAsia="en-US"/>
          </w:rPr>
          <w:fldChar w:fldCharType="end"/>
        </w:r>
      </w:hyperlink>
    </w:p>
    <w:p w:rsidR="0068254E" w:rsidRPr="0068254E" w:rsidRDefault="009404FC">
      <w:pPr>
        <w:pStyle w:val="27"/>
        <w:rPr>
          <w:rFonts w:eastAsia="Calibri"/>
          <w:b w:val="0"/>
          <w:smallCaps w:val="0"/>
          <w:noProof/>
          <w:sz w:val="22"/>
          <w:lang w:eastAsia="en-US"/>
        </w:rPr>
      </w:pPr>
      <w:hyperlink w:anchor="_Toc229052186" w:history="1">
        <w:r w:rsidR="0068254E" w:rsidRPr="0068254E">
          <w:rPr>
            <w:rFonts w:eastAsia="Calibri"/>
            <w:b w:val="0"/>
            <w:smallCaps w:val="0"/>
            <w:noProof/>
            <w:sz w:val="22"/>
            <w:lang w:eastAsia="en-US"/>
          </w:rPr>
          <w:t>3.1. Приоритетные направления деятельности</w:t>
        </w:r>
        <w:r w:rsidR="0068254E" w:rsidRPr="0068254E">
          <w:rPr>
            <w:rFonts w:eastAsia="Calibri"/>
            <w:b w:val="0"/>
            <w:smallCaps w:val="0"/>
            <w:noProof/>
            <w:webHidden/>
            <w:sz w:val="22"/>
            <w:lang w:eastAsia="en-US"/>
          </w:rPr>
          <w:tab/>
        </w:r>
        <w:r w:rsidR="0068254E" w:rsidRPr="0068254E">
          <w:rPr>
            <w:rFonts w:eastAsia="Calibri"/>
            <w:b w:val="0"/>
            <w:smallCaps w:val="0"/>
            <w:noProof/>
            <w:webHidden/>
            <w:sz w:val="22"/>
            <w:lang w:eastAsia="en-US"/>
          </w:rPr>
          <w:fldChar w:fldCharType="begin"/>
        </w:r>
        <w:r w:rsidR="0068254E" w:rsidRPr="0068254E">
          <w:rPr>
            <w:rFonts w:eastAsia="Calibri"/>
            <w:b w:val="0"/>
            <w:smallCaps w:val="0"/>
            <w:noProof/>
            <w:webHidden/>
            <w:sz w:val="22"/>
            <w:lang w:eastAsia="en-US"/>
          </w:rPr>
          <w:instrText xml:space="preserve"> PAGEREF _Toc229052186 \h </w:instrText>
        </w:r>
        <w:r w:rsidR="0068254E" w:rsidRPr="0068254E">
          <w:rPr>
            <w:rFonts w:eastAsia="Calibri"/>
            <w:b w:val="0"/>
            <w:smallCaps w:val="0"/>
            <w:noProof/>
            <w:webHidden/>
            <w:sz w:val="22"/>
            <w:lang w:eastAsia="en-US"/>
          </w:rPr>
        </w:r>
        <w:r w:rsidR="0068254E" w:rsidRPr="0068254E">
          <w:rPr>
            <w:rFonts w:eastAsia="Calibri"/>
            <w:b w:val="0"/>
            <w:smallCaps w:val="0"/>
            <w:noProof/>
            <w:webHidden/>
            <w:sz w:val="22"/>
            <w:lang w:eastAsia="en-US"/>
          </w:rPr>
          <w:fldChar w:fldCharType="separate"/>
        </w:r>
        <w:r w:rsidR="005D6701">
          <w:rPr>
            <w:rFonts w:eastAsia="Calibri"/>
            <w:b w:val="0"/>
            <w:smallCaps w:val="0"/>
            <w:noProof/>
            <w:webHidden/>
            <w:sz w:val="22"/>
            <w:lang w:eastAsia="en-US"/>
          </w:rPr>
          <w:t>6</w:t>
        </w:r>
        <w:r w:rsidR="0068254E" w:rsidRPr="0068254E">
          <w:rPr>
            <w:rFonts w:eastAsia="Calibri"/>
            <w:b w:val="0"/>
            <w:smallCaps w:val="0"/>
            <w:noProof/>
            <w:webHidden/>
            <w:sz w:val="22"/>
            <w:lang w:eastAsia="en-US"/>
          </w:rPr>
          <w:fldChar w:fldCharType="end"/>
        </w:r>
      </w:hyperlink>
    </w:p>
    <w:p w:rsidR="0068254E" w:rsidRPr="0068254E" w:rsidRDefault="009404FC">
      <w:pPr>
        <w:pStyle w:val="27"/>
        <w:rPr>
          <w:rFonts w:eastAsia="Calibri"/>
          <w:b w:val="0"/>
          <w:smallCaps w:val="0"/>
          <w:noProof/>
          <w:sz w:val="22"/>
          <w:lang w:eastAsia="en-US"/>
        </w:rPr>
      </w:pPr>
      <w:hyperlink w:anchor="_Toc229052187" w:history="1">
        <w:r w:rsidR="0068254E" w:rsidRPr="0068254E">
          <w:rPr>
            <w:rFonts w:eastAsia="Calibri"/>
            <w:b w:val="0"/>
            <w:smallCaps w:val="0"/>
            <w:noProof/>
            <w:sz w:val="22"/>
            <w:lang w:eastAsia="en-US"/>
          </w:rPr>
          <w:t>3.2. Отчет о результатах деятельности</w:t>
        </w:r>
        <w:r w:rsidR="0068254E" w:rsidRPr="0068254E">
          <w:rPr>
            <w:rFonts w:eastAsia="Calibri"/>
            <w:b w:val="0"/>
            <w:smallCaps w:val="0"/>
            <w:noProof/>
            <w:webHidden/>
            <w:sz w:val="22"/>
            <w:lang w:eastAsia="en-US"/>
          </w:rPr>
          <w:tab/>
        </w:r>
        <w:r w:rsidR="0068254E" w:rsidRPr="0068254E">
          <w:rPr>
            <w:rFonts w:eastAsia="Calibri"/>
            <w:b w:val="0"/>
            <w:smallCaps w:val="0"/>
            <w:noProof/>
            <w:webHidden/>
            <w:sz w:val="22"/>
            <w:lang w:eastAsia="en-US"/>
          </w:rPr>
          <w:fldChar w:fldCharType="begin"/>
        </w:r>
        <w:r w:rsidR="0068254E" w:rsidRPr="0068254E">
          <w:rPr>
            <w:rFonts w:eastAsia="Calibri"/>
            <w:b w:val="0"/>
            <w:smallCaps w:val="0"/>
            <w:noProof/>
            <w:webHidden/>
            <w:sz w:val="22"/>
            <w:lang w:eastAsia="en-US"/>
          </w:rPr>
          <w:instrText xml:space="preserve"> PAGEREF _Toc229052187 \h </w:instrText>
        </w:r>
        <w:r w:rsidR="0068254E" w:rsidRPr="0068254E">
          <w:rPr>
            <w:rFonts w:eastAsia="Calibri"/>
            <w:b w:val="0"/>
            <w:smallCaps w:val="0"/>
            <w:noProof/>
            <w:webHidden/>
            <w:sz w:val="22"/>
            <w:lang w:eastAsia="en-US"/>
          </w:rPr>
        </w:r>
        <w:r w:rsidR="0068254E" w:rsidRPr="0068254E">
          <w:rPr>
            <w:rFonts w:eastAsia="Calibri"/>
            <w:b w:val="0"/>
            <w:smallCaps w:val="0"/>
            <w:noProof/>
            <w:webHidden/>
            <w:sz w:val="22"/>
            <w:lang w:eastAsia="en-US"/>
          </w:rPr>
          <w:fldChar w:fldCharType="separate"/>
        </w:r>
        <w:r w:rsidR="005D6701">
          <w:rPr>
            <w:rFonts w:eastAsia="Calibri"/>
            <w:b w:val="0"/>
            <w:smallCaps w:val="0"/>
            <w:noProof/>
            <w:webHidden/>
            <w:sz w:val="22"/>
            <w:lang w:eastAsia="en-US"/>
          </w:rPr>
          <w:t>6</w:t>
        </w:r>
        <w:r w:rsidR="0068254E" w:rsidRPr="0068254E">
          <w:rPr>
            <w:rFonts w:eastAsia="Calibri"/>
            <w:b w:val="0"/>
            <w:smallCaps w:val="0"/>
            <w:noProof/>
            <w:webHidden/>
            <w:sz w:val="22"/>
            <w:lang w:eastAsia="en-US"/>
          </w:rPr>
          <w:fldChar w:fldCharType="end"/>
        </w:r>
      </w:hyperlink>
    </w:p>
    <w:p w:rsidR="0068254E" w:rsidRPr="0068254E" w:rsidRDefault="009404FC">
      <w:pPr>
        <w:pStyle w:val="27"/>
        <w:rPr>
          <w:rFonts w:eastAsia="Calibri"/>
          <w:b w:val="0"/>
          <w:smallCaps w:val="0"/>
          <w:noProof/>
          <w:sz w:val="22"/>
          <w:lang w:eastAsia="en-US"/>
        </w:rPr>
      </w:pPr>
      <w:hyperlink w:anchor="_Toc229052188" w:history="1">
        <w:r w:rsidR="0068254E" w:rsidRPr="0068254E">
          <w:rPr>
            <w:rFonts w:eastAsia="Calibri"/>
            <w:b w:val="0"/>
            <w:smallCaps w:val="0"/>
            <w:noProof/>
            <w:sz w:val="22"/>
            <w:lang w:eastAsia="en-US"/>
          </w:rPr>
          <w:t>3.3. Перспективы развития</w:t>
        </w:r>
        <w:r w:rsidR="0068254E" w:rsidRPr="0068254E">
          <w:rPr>
            <w:rFonts w:eastAsia="Calibri"/>
            <w:b w:val="0"/>
            <w:smallCaps w:val="0"/>
            <w:noProof/>
            <w:webHidden/>
            <w:sz w:val="22"/>
            <w:lang w:eastAsia="en-US"/>
          </w:rPr>
          <w:tab/>
        </w:r>
        <w:r w:rsidR="0068254E" w:rsidRPr="0068254E">
          <w:rPr>
            <w:rFonts w:eastAsia="Calibri"/>
            <w:b w:val="0"/>
            <w:smallCaps w:val="0"/>
            <w:noProof/>
            <w:webHidden/>
            <w:sz w:val="22"/>
            <w:lang w:eastAsia="en-US"/>
          </w:rPr>
          <w:fldChar w:fldCharType="begin"/>
        </w:r>
        <w:r w:rsidR="0068254E" w:rsidRPr="0068254E">
          <w:rPr>
            <w:rFonts w:eastAsia="Calibri"/>
            <w:b w:val="0"/>
            <w:smallCaps w:val="0"/>
            <w:noProof/>
            <w:webHidden/>
            <w:sz w:val="22"/>
            <w:lang w:eastAsia="en-US"/>
          </w:rPr>
          <w:instrText xml:space="preserve"> PAGEREF _Toc229052188 \h </w:instrText>
        </w:r>
        <w:r w:rsidR="0068254E" w:rsidRPr="0068254E">
          <w:rPr>
            <w:rFonts w:eastAsia="Calibri"/>
            <w:b w:val="0"/>
            <w:smallCaps w:val="0"/>
            <w:noProof/>
            <w:webHidden/>
            <w:sz w:val="22"/>
            <w:lang w:eastAsia="en-US"/>
          </w:rPr>
        </w:r>
        <w:r w:rsidR="0068254E" w:rsidRPr="0068254E">
          <w:rPr>
            <w:rFonts w:eastAsia="Calibri"/>
            <w:b w:val="0"/>
            <w:smallCaps w:val="0"/>
            <w:noProof/>
            <w:webHidden/>
            <w:sz w:val="22"/>
            <w:lang w:eastAsia="en-US"/>
          </w:rPr>
          <w:fldChar w:fldCharType="separate"/>
        </w:r>
        <w:r w:rsidR="005D6701">
          <w:rPr>
            <w:rFonts w:eastAsia="Calibri"/>
            <w:b w:val="0"/>
            <w:smallCaps w:val="0"/>
            <w:noProof/>
            <w:webHidden/>
            <w:sz w:val="22"/>
            <w:lang w:eastAsia="en-US"/>
          </w:rPr>
          <w:t>9</w:t>
        </w:r>
        <w:r w:rsidR="0068254E" w:rsidRPr="0068254E">
          <w:rPr>
            <w:rFonts w:eastAsia="Calibri"/>
            <w:b w:val="0"/>
            <w:smallCaps w:val="0"/>
            <w:noProof/>
            <w:webHidden/>
            <w:sz w:val="22"/>
            <w:lang w:eastAsia="en-US"/>
          </w:rPr>
          <w:fldChar w:fldCharType="end"/>
        </w:r>
      </w:hyperlink>
    </w:p>
    <w:p w:rsidR="0068254E" w:rsidRPr="0068254E" w:rsidRDefault="009404FC">
      <w:pPr>
        <w:pStyle w:val="27"/>
        <w:rPr>
          <w:rFonts w:eastAsia="Calibri"/>
          <w:b w:val="0"/>
          <w:smallCaps w:val="0"/>
          <w:noProof/>
          <w:sz w:val="22"/>
          <w:lang w:eastAsia="en-US"/>
        </w:rPr>
      </w:pPr>
      <w:hyperlink w:anchor="_Toc229052189" w:history="1">
        <w:r w:rsidR="0068254E" w:rsidRPr="0068254E">
          <w:rPr>
            <w:rFonts w:eastAsia="Calibri"/>
            <w:b w:val="0"/>
            <w:smallCaps w:val="0"/>
            <w:noProof/>
            <w:sz w:val="22"/>
            <w:lang w:eastAsia="en-US"/>
          </w:rPr>
          <w:t>4. Корпоративное управление</w:t>
        </w:r>
        <w:r w:rsidR="0068254E" w:rsidRPr="0068254E">
          <w:rPr>
            <w:rFonts w:eastAsia="Calibri"/>
            <w:b w:val="0"/>
            <w:smallCaps w:val="0"/>
            <w:noProof/>
            <w:webHidden/>
            <w:sz w:val="22"/>
            <w:lang w:eastAsia="en-US"/>
          </w:rPr>
          <w:tab/>
        </w:r>
        <w:r w:rsidR="0068254E" w:rsidRPr="0068254E">
          <w:rPr>
            <w:rFonts w:eastAsia="Calibri"/>
            <w:b w:val="0"/>
            <w:smallCaps w:val="0"/>
            <w:noProof/>
            <w:webHidden/>
            <w:sz w:val="22"/>
            <w:lang w:eastAsia="en-US"/>
          </w:rPr>
          <w:fldChar w:fldCharType="begin"/>
        </w:r>
        <w:r w:rsidR="0068254E" w:rsidRPr="0068254E">
          <w:rPr>
            <w:rFonts w:eastAsia="Calibri"/>
            <w:b w:val="0"/>
            <w:smallCaps w:val="0"/>
            <w:noProof/>
            <w:webHidden/>
            <w:sz w:val="22"/>
            <w:lang w:eastAsia="en-US"/>
          </w:rPr>
          <w:instrText xml:space="preserve"> PAGEREF _Toc229052189 \h </w:instrText>
        </w:r>
        <w:r w:rsidR="0068254E" w:rsidRPr="0068254E">
          <w:rPr>
            <w:rFonts w:eastAsia="Calibri"/>
            <w:b w:val="0"/>
            <w:smallCaps w:val="0"/>
            <w:noProof/>
            <w:webHidden/>
            <w:sz w:val="22"/>
            <w:lang w:eastAsia="en-US"/>
          </w:rPr>
        </w:r>
        <w:r w:rsidR="0068254E" w:rsidRPr="0068254E">
          <w:rPr>
            <w:rFonts w:eastAsia="Calibri"/>
            <w:b w:val="0"/>
            <w:smallCaps w:val="0"/>
            <w:noProof/>
            <w:webHidden/>
            <w:sz w:val="22"/>
            <w:lang w:eastAsia="en-US"/>
          </w:rPr>
          <w:fldChar w:fldCharType="separate"/>
        </w:r>
        <w:r w:rsidR="005D6701">
          <w:rPr>
            <w:rFonts w:eastAsia="Calibri"/>
            <w:b w:val="0"/>
            <w:smallCaps w:val="0"/>
            <w:noProof/>
            <w:webHidden/>
            <w:sz w:val="22"/>
            <w:lang w:eastAsia="en-US"/>
          </w:rPr>
          <w:t>9</w:t>
        </w:r>
        <w:r w:rsidR="0068254E" w:rsidRPr="0068254E">
          <w:rPr>
            <w:rFonts w:eastAsia="Calibri"/>
            <w:b w:val="0"/>
            <w:smallCaps w:val="0"/>
            <w:noProof/>
            <w:webHidden/>
            <w:sz w:val="22"/>
            <w:lang w:eastAsia="en-US"/>
          </w:rPr>
          <w:fldChar w:fldCharType="end"/>
        </w:r>
      </w:hyperlink>
    </w:p>
    <w:p w:rsidR="0068254E" w:rsidRPr="0068254E" w:rsidRDefault="009404FC">
      <w:pPr>
        <w:pStyle w:val="27"/>
        <w:rPr>
          <w:rFonts w:eastAsia="Calibri"/>
          <w:b w:val="0"/>
          <w:smallCaps w:val="0"/>
          <w:noProof/>
          <w:sz w:val="22"/>
          <w:lang w:eastAsia="en-US"/>
        </w:rPr>
      </w:pPr>
      <w:hyperlink w:anchor="_Toc229052190" w:history="1">
        <w:r w:rsidR="0068254E" w:rsidRPr="0068254E">
          <w:rPr>
            <w:rFonts w:eastAsia="Calibri"/>
            <w:b w:val="0"/>
            <w:smallCaps w:val="0"/>
            <w:noProof/>
            <w:sz w:val="22"/>
            <w:lang w:eastAsia="en-US"/>
          </w:rPr>
          <w:t>4.1. Структура акционерного капитала</w:t>
        </w:r>
        <w:r w:rsidR="0068254E" w:rsidRPr="0068254E">
          <w:rPr>
            <w:rFonts w:eastAsia="Calibri"/>
            <w:b w:val="0"/>
            <w:smallCaps w:val="0"/>
            <w:noProof/>
            <w:webHidden/>
            <w:sz w:val="22"/>
            <w:lang w:eastAsia="en-US"/>
          </w:rPr>
          <w:tab/>
        </w:r>
        <w:r w:rsidR="0068254E" w:rsidRPr="0068254E">
          <w:rPr>
            <w:rFonts w:eastAsia="Calibri"/>
            <w:b w:val="0"/>
            <w:smallCaps w:val="0"/>
            <w:noProof/>
            <w:webHidden/>
            <w:sz w:val="22"/>
            <w:lang w:eastAsia="en-US"/>
          </w:rPr>
          <w:fldChar w:fldCharType="begin"/>
        </w:r>
        <w:r w:rsidR="0068254E" w:rsidRPr="0068254E">
          <w:rPr>
            <w:rFonts w:eastAsia="Calibri"/>
            <w:b w:val="0"/>
            <w:smallCaps w:val="0"/>
            <w:noProof/>
            <w:webHidden/>
            <w:sz w:val="22"/>
            <w:lang w:eastAsia="en-US"/>
          </w:rPr>
          <w:instrText xml:space="preserve"> PAGEREF _Toc229052190 \h </w:instrText>
        </w:r>
        <w:r w:rsidR="0068254E" w:rsidRPr="0068254E">
          <w:rPr>
            <w:rFonts w:eastAsia="Calibri"/>
            <w:b w:val="0"/>
            <w:smallCaps w:val="0"/>
            <w:noProof/>
            <w:webHidden/>
            <w:sz w:val="22"/>
            <w:lang w:eastAsia="en-US"/>
          </w:rPr>
        </w:r>
        <w:r w:rsidR="0068254E" w:rsidRPr="0068254E">
          <w:rPr>
            <w:rFonts w:eastAsia="Calibri"/>
            <w:b w:val="0"/>
            <w:smallCaps w:val="0"/>
            <w:noProof/>
            <w:webHidden/>
            <w:sz w:val="22"/>
            <w:lang w:eastAsia="en-US"/>
          </w:rPr>
          <w:fldChar w:fldCharType="separate"/>
        </w:r>
        <w:r w:rsidR="005D6701">
          <w:rPr>
            <w:rFonts w:eastAsia="Calibri"/>
            <w:b w:val="0"/>
            <w:smallCaps w:val="0"/>
            <w:noProof/>
            <w:webHidden/>
            <w:sz w:val="22"/>
            <w:lang w:eastAsia="en-US"/>
          </w:rPr>
          <w:t>9</w:t>
        </w:r>
        <w:r w:rsidR="0068254E" w:rsidRPr="0068254E">
          <w:rPr>
            <w:rFonts w:eastAsia="Calibri"/>
            <w:b w:val="0"/>
            <w:smallCaps w:val="0"/>
            <w:noProof/>
            <w:webHidden/>
            <w:sz w:val="22"/>
            <w:lang w:eastAsia="en-US"/>
          </w:rPr>
          <w:fldChar w:fldCharType="end"/>
        </w:r>
      </w:hyperlink>
    </w:p>
    <w:p w:rsidR="0068254E" w:rsidRPr="0068254E" w:rsidRDefault="009404FC">
      <w:pPr>
        <w:pStyle w:val="27"/>
        <w:rPr>
          <w:rFonts w:eastAsia="Calibri"/>
          <w:b w:val="0"/>
          <w:smallCaps w:val="0"/>
          <w:noProof/>
          <w:sz w:val="22"/>
          <w:lang w:eastAsia="en-US"/>
        </w:rPr>
      </w:pPr>
      <w:hyperlink w:anchor="_Toc229052191" w:history="1">
        <w:r w:rsidR="0068254E" w:rsidRPr="0068254E">
          <w:rPr>
            <w:rFonts w:eastAsia="Calibri"/>
            <w:b w:val="0"/>
            <w:smallCaps w:val="0"/>
            <w:noProof/>
            <w:sz w:val="22"/>
            <w:lang w:eastAsia="en-US"/>
          </w:rPr>
          <w:t>4.2. Система корпоративного управления</w:t>
        </w:r>
        <w:r w:rsidR="0068254E" w:rsidRPr="0068254E">
          <w:rPr>
            <w:rFonts w:eastAsia="Calibri"/>
            <w:b w:val="0"/>
            <w:smallCaps w:val="0"/>
            <w:noProof/>
            <w:webHidden/>
            <w:sz w:val="22"/>
            <w:lang w:eastAsia="en-US"/>
          </w:rPr>
          <w:tab/>
        </w:r>
        <w:r w:rsidR="0068254E" w:rsidRPr="0068254E">
          <w:rPr>
            <w:rFonts w:eastAsia="Calibri"/>
            <w:b w:val="0"/>
            <w:smallCaps w:val="0"/>
            <w:noProof/>
            <w:webHidden/>
            <w:sz w:val="22"/>
            <w:lang w:eastAsia="en-US"/>
          </w:rPr>
          <w:fldChar w:fldCharType="begin"/>
        </w:r>
        <w:r w:rsidR="0068254E" w:rsidRPr="0068254E">
          <w:rPr>
            <w:rFonts w:eastAsia="Calibri"/>
            <w:b w:val="0"/>
            <w:smallCaps w:val="0"/>
            <w:noProof/>
            <w:webHidden/>
            <w:sz w:val="22"/>
            <w:lang w:eastAsia="en-US"/>
          </w:rPr>
          <w:instrText xml:space="preserve"> PAGEREF _Toc229052191 \h </w:instrText>
        </w:r>
        <w:r w:rsidR="0068254E" w:rsidRPr="0068254E">
          <w:rPr>
            <w:rFonts w:eastAsia="Calibri"/>
            <w:b w:val="0"/>
            <w:smallCaps w:val="0"/>
            <w:noProof/>
            <w:webHidden/>
            <w:sz w:val="22"/>
            <w:lang w:eastAsia="en-US"/>
          </w:rPr>
        </w:r>
        <w:r w:rsidR="0068254E" w:rsidRPr="0068254E">
          <w:rPr>
            <w:rFonts w:eastAsia="Calibri"/>
            <w:b w:val="0"/>
            <w:smallCaps w:val="0"/>
            <w:noProof/>
            <w:webHidden/>
            <w:sz w:val="22"/>
            <w:lang w:eastAsia="en-US"/>
          </w:rPr>
          <w:fldChar w:fldCharType="separate"/>
        </w:r>
        <w:r w:rsidR="005D6701">
          <w:rPr>
            <w:rFonts w:eastAsia="Calibri"/>
            <w:b w:val="0"/>
            <w:smallCaps w:val="0"/>
            <w:noProof/>
            <w:webHidden/>
            <w:sz w:val="22"/>
            <w:lang w:eastAsia="en-US"/>
          </w:rPr>
          <w:t>9</w:t>
        </w:r>
        <w:r w:rsidR="0068254E" w:rsidRPr="0068254E">
          <w:rPr>
            <w:rFonts w:eastAsia="Calibri"/>
            <w:b w:val="0"/>
            <w:smallCaps w:val="0"/>
            <w:noProof/>
            <w:webHidden/>
            <w:sz w:val="22"/>
            <w:lang w:eastAsia="en-US"/>
          </w:rPr>
          <w:fldChar w:fldCharType="end"/>
        </w:r>
      </w:hyperlink>
    </w:p>
    <w:p w:rsidR="0068254E" w:rsidRPr="0068254E" w:rsidRDefault="009404FC">
      <w:pPr>
        <w:pStyle w:val="27"/>
        <w:rPr>
          <w:rFonts w:eastAsia="Calibri"/>
          <w:b w:val="0"/>
          <w:smallCaps w:val="0"/>
          <w:noProof/>
          <w:sz w:val="22"/>
          <w:lang w:eastAsia="en-US"/>
        </w:rPr>
      </w:pPr>
      <w:hyperlink w:anchor="_Toc229052192" w:history="1">
        <w:r w:rsidR="0068254E" w:rsidRPr="0068254E">
          <w:rPr>
            <w:rFonts w:eastAsia="Calibri"/>
            <w:b w:val="0"/>
            <w:smallCaps w:val="0"/>
            <w:noProof/>
            <w:sz w:val="22"/>
            <w:lang w:eastAsia="en-US"/>
          </w:rPr>
          <w:t>4.3. Общее собрание акционеров</w:t>
        </w:r>
        <w:r w:rsidR="0068254E" w:rsidRPr="0068254E">
          <w:rPr>
            <w:rFonts w:eastAsia="Calibri"/>
            <w:b w:val="0"/>
            <w:smallCaps w:val="0"/>
            <w:noProof/>
            <w:webHidden/>
            <w:sz w:val="22"/>
            <w:lang w:eastAsia="en-US"/>
          </w:rPr>
          <w:tab/>
        </w:r>
        <w:r w:rsidR="0068254E" w:rsidRPr="0068254E">
          <w:rPr>
            <w:rFonts w:eastAsia="Calibri"/>
            <w:b w:val="0"/>
            <w:smallCaps w:val="0"/>
            <w:noProof/>
            <w:webHidden/>
            <w:sz w:val="22"/>
            <w:lang w:eastAsia="en-US"/>
          </w:rPr>
          <w:fldChar w:fldCharType="begin"/>
        </w:r>
        <w:r w:rsidR="0068254E" w:rsidRPr="0068254E">
          <w:rPr>
            <w:rFonts w:eastAsia="Calibri"/>
            <w:b w:val="0"/>
            <w:smallCaps w:val="0"/>
            <w:noProof/>
            <w:webHidden/>
            <w:sz w:val="22"/>
            <w:lang w:eastAsia="en-US"/>
          </w:rPr>
          <w:instrText xml:space="preserve"> PAGEREF _Toc229052192 \h </w:instrText>
        </w:r>
        <w:r w:rsidR="0068254E" w:rsidRPr="0068254E">
          <w:rPr>
            <w:rFonts w:eastAsia="Calibri"/>
            <w:b w:val="0"/>
            <w:smallCaps w:val="0"/>
            <w:noProof/>
            <w:webHidden/>
            <w:sz w:val="22"/>
            <w:lang w:eastAsia="en-US"/>
          </w:rPr>
        </w:r>
        <w:r w:rsidR="0068254E" w:rsidRPr="0068254E">
          <w:rPr>
            <w:rFonts w:eastAsia="Calibri"/>
            <w:b w:val="0"/>
            <w:smallCaps w:val="0"/>
            <w:noProof/>
            <w:webHidden/>
            <w:sz w:val="22"/>
            <w:lang w:eastAsia="en-US"/>
          </w:rPr>
          <w:fldChar w:fldCharType="separate"/>
        </w:r>
        <w:r w:rsidR="005D6701">
          <w:rPr>
            <w:rFonts w:eastAsia="Calibri"/>
            <w:b w:val="0"/>
            <w:smallCaps w:val="0"/>
            <w:noProof/>
            <w:webHidden/>
            <w:sz w:val="22"/>
            <w:lang w:eastAsia="en-US"/>
          </w:rPr>
          <w:t>10</w:t>
        </w:r>
        <w:r w:rsidR="0068254E" w:rsidRPr="0068254E">
          <w:rPr>
            <w:rFonts w:eastAsia="Calibri"/>
            <w:b w:val="0"/>
            <w:smallCaps w:val="0"/>
            <w:noProof/>
            <w:webHidden/>
            <w:sz w:val="22"/>
            <w:lang w:eastAsia="en-US"/>
          </w:rPr>
          <w:fldChar w:fldCharType="end"/>
        </w:r>
      </w:hyperlink>
    </w:p>
    <w:p w:rsidR="0068254E" w:rsidRPr="0068254E" w:rsidRDefault="009404FC">
      <w:pPr>
        <w:pStyle w:val="27"/>
        <w:rPr>
          <w:rFonts w:eastAsia="Calibri"/>
          <w:b w:val="0"/>
          <w:smallCaps w:val="0"/>
          <w:noProof/>
          <w:sz w:val="22"/>
          <w:lang w:eastAsia="en-US"/>
        </w:rPr>
      </w:pPr>
      <w:hyperlink w:anchor="_Toc229052193" w:history="1">
        <w:r w:rsidR="0068254E" w:rsidRPr="0068254E">
          <w:rPr>
            <w:rFonts w:eastAsia="Calibri"/>
            <w:b w:val="0"/>
            <w:smallCaps w:val="0"/>
            <w:noProof/>
            <w:sz w:val="22"/>
            <w:lang w:eastAsia="en-US"/>
          </w:rPr>
          <w:t>4.4. Наблюдательный совет</w:t>
        </w:r>
        <w:r w:rsidR="0068254E" w:rsidRPr="0068254E">
          <w:rPr>
            <w:rFonts w:eastAsia="Calibri"/>
            <w:b w:val="0"/>
            <w:smallCaps w:val="0"/>
            <w:noProof/>
            <w:webHidden/>
            <w:sz w:val="22"/>
            <w:lang w:eastAsia="en-US"/>
          </w:rPr>
          <w:tab/>
        </w:r>
        <w:r w:rsidR="0068254E" w:rsidRPr="0068254E">
          <w:rPr>
            <w:rFonts w:eastAsia="Calibri"/>
            <w:b w:val="0"/>
            <w:smallCaps w:val="0"/>
            <w:noProof/>
            <w:webHidden/>
            <w:sz w:val="22"/>
            <w:lang w:eastAsia="en-US"/>
          </w:rPr>
          <w:fldChar w:fldCharType="begin"/>
        </w:r>
        <w:r w:rsidR="0068254E" w:rsidRPr="0068254E">
          <w:rPr>
            <w:rFonts w:eastAsia="Calibri"/>
            <w:b w:val="0"/>
            <w:smallCaps w:val="0"/>
            <w:noProof/>
            <w:webHidden/>
            <w:sz w:val="22"/>
            <w:lang w:eastAsia="en-US"/>
          </w:rPr>
          <w:instrText xml:space="preserve"> PAGEREF _Toc229052193 \h </w:instrText>
        </w:r>
        <w:r w:rsidR="0068254E" w:rsidRPr="0068254E">
          <w:rPr>
            <w:rFonts w:eastAsia="Calibri"/>
            <w:b w:val="0"/>
            <w:smallCaps w:val="0"/>
            <w:noProof/>
            <w:webHidden/>
            <w:sz w:val="22"/>
            <w:lang w:eastAsia="en-US"/>
          </w:rPr>
        </w:r>
        <w:r w:rsidR="0068254E" w:rsidRPr="0068254E">
          <w:rPr>
            <w:rFonts w:eastAsia="Calibri"/>
            <w:b w:val="0"/>
            <w:smallCaps w:val="0"/>
            <w:noProof/>
            <w:webHidden/>
            <w:sz w:val="22"/>
            <w:lang w:eastAsia="en-US"/>
          </w:rPr>
          <w:fldChar w:fldCharType="separate"/>
        </w:r>
        <w:r w:rsidR="005D6701">
          <w:rPr>
            <w:rFonts w:eastAsia="Calibri"/>
            <w:b w:val="0"/>
            <w:smallCaps w:val="0"/>
            <w:noProof/>
            <w:webHidden/>
            <w:sz w:val="22"/>
            <w:lang w:eastAsia="en-US"/>
          </w:rPr>
          <w:t>12</w:t>
        </w:r>
        <w:r w:rsidR="0068254E" w:rsidRPr="0068254E">
          <w:rPr>
            <w:rFonts w:eastAsia="Calibri"/>
            <w:b w:val="0"/>
            <w:smallCaps w:val="0"/>
            <w:noProof/>
            <w:webHidden/>
            <w:sz w:val="22"/>
            <w:lang w:eastAsia="en-US"/>
          </w:rPr>
          <w:fldChar w:fldCharType="end"/>
        </w:r>
      </w:hyperlink>
    </w:p>
    <w:p w:rsidR="0068254E" w:rsidRPr="0068254E" w:rsidRDefault="009404FC">
      <w:pPr>
        <w:pStyle w:val="27"/>
        <w:rPr>
          <w:rFonts w:eastAsia="Calibri"/>
          <w:b w:val="0"/>
          <w:smallCaps w:val="0"/>
          <w:noProof/>
          <w:sz w:val="22"/>
          <w:lang w:eastAsia="en-US"/>
        </w:rPr>
      </w:pPr>
      <w:hyperlink w:anchor="_Toc229052194" w:history="1">
        <w:r w:rsidR="0068254E" w:rsidRPr="0068254E">
          <w:rPr>
            <w:rFonts w:eastAsia="Calibri"/>
            <w:b w:val="0"/>
            <w:smallCaps w:val="0"/>
            <w:noProof/>
            <w:sz w:val="22"/>
            <w:lang w:eastAsia="en-US"/>
          </w:rPr>
          <w:t>4.5. Исполнительные органы</w:t>
        </w:r>
        <w:r w:rsidR="0068254E" w:rsidRPr="0068254E">
          <w:rPr>
            <w:rFonts w:eastAsia="Calibri"/>
            <w:b w:val="0"/>
            <w:smallCaps w:val="0"/>
            <w:noProof/>
            <w:webHidden/>
            <w:sz w:val="22"/>
            <w:lang w:eastAsia="en-US"/>
          </w:rPr>
          <w:tab/>
        </w:r>
        <w:r w:rsidR="0068254E" w:rsidRPr="0068254E">
          <w:rPr>
            <w:rFonts w:eastAsia="Calibri"/>
            <w:b w:val="0"/>
            <w:smallCaps w:val="0"/>
            <w:noProof/>
            <w:webHidden/>
            <w:sz w:val="22"/>
            <w:lang w:eastAsia="en-US"/>
          </w:rPr>
          <w:fldChar w:fldCharType="begin"/>
        </w:r>
        <w:r w:rsidR="0068254E" w:rsidRPr="0068254E">
          <w:rPr>
            <w:rFonts w:eastAsia="Calibri"/>
            <w:b w:val="0"/>
            <w:smallCaps w:val="0"/>
            <w:noProof/>
            <w:webHidden/>
            <w:sz w:val="22"/>
            <w:lang w:eastAsia="en-US"/>
          </w:rPr>
          <w:instrText xml:space="preserve"> PAGEREF _Toc229052194 \h </w:instrText>
        </w:r>
        <w:r w:rsidR="0068254E" w:rsidRPr="0068254E">
          <w:rPr>
            <w:rFonts w:eastAsia="Calibri"/>
            <w:b w:val="0"/>
            <w:smallCaps w:val="0"/>
            <w:noProof/>
            <w:webHidden/>
            <w:sz w:val="22"/>
            <w:lang w:eastAsia="en-US"/>
          </w:rPr>
        </w:r>
        <w:r w:rsidR="0068254E" w:rsidRPr="0068254E">
          <w:rPr>
            <w:rFonts w:eastAsia="Calibri"/>
            <w:b w:val="0"/>
            <w:smallCaps w:val="0"/>
            <w:noProof/>
            <w:webHidden/>
            <w:sz w:val="22"/>
            <w:lang w:eastAsia="en-US"/>
          </w:rPr>
          <w:fldChar w:fldCharType="separate"/>
        </w:r>
        <w:r w:rsidR="005D6701">
          <w:rPr>
            <w:rFonts w:eastAsia="Calibri"/>
            <w:b w:val="0"/>
            <w:smallCaps w:val="0"/>
            <w:noProof/>
            <w:webHidden/>
            <w:sz w:val="22"/>
            <w:lang w:eastAsia="en-US"/>
          </w:rPr>
          <w:t>23</w:t>
        </w:r>
        <w:r w:rsidR="0068254E" w:rsidRPr="0068254E">
          <w:rPr>
            <w:rFonts w:eastAsia="Calibri"/>
            <w:b w:val="0"/>
            <w:smallCaps w:val="0"/>
            <w:noProof/>
            <w:webHidden/>
            <w:sz w:val="22"/>
            <w:lang w:eastAsia="en-US"/>
          </w:rPr>
          <w:fldChar w:fldCharType="end"/>
        </w:r>
      </w:hyperlink>
    </w:p>
    <w:p w:rsidR="0068254E" w:rsidRPr="0068254E" w:rsidRDefault="009404FC">
      <w:pPr>
        <w:pStyle w:val="27"/>
        <w:rPr>
          <w:rFonts w:eastAsia="Calibri"/>
          <w:b w:val="0"/>
          <w:smallCaps w:val="0"/>
          <w:noProof/>
          <w:sz w:val="22"/>
          <w:lang w:eastAsia="en-US"/>
        </w:rPr>
      </w:pPr>
      <w:hyperlink w:anchor="_Toc229052195" w:history="1">
        <w:r w:rsidR="0068254E" w:rsidRPr="0068254E">
          <w:rPr>
            <w:rFonts w:eastAsia="Calibri"/>
            <w:b w:val="0"/>
            <w:smallCaps w:val="0"/>
            <w:noProof/>
            <w:sz w:val="22"/>
            <w:lang w:eastAsia="en-US"/>
          </w:rPr>
          <w:t>4.6. Корпоративный секретарь</w:t>
        </w:r>
        <w:r w:rsidR="0068254E" w:rsidRPr="0068254E">
          <w:rPr>
            <w:rFonts w:eastAsia="Calibri"/>
            <w:b w:val="0"/>
            <w:smallCaps w:val="0"/>
            <w:noProof/>
            <w:webHidden/>
            <w:sz w:val="22"/>
            <w:lang w:eastAsia="en-US"/>
          </w:rPr>
          <w:tab/>
        </w:r>
        <w:r w:rsidR="0068254E" w:rsidRPr="0068254E">
          <w:rPr>
            <w:rFonts w:eastAsia="Calibri"/>
            <w:b w:val="0"/>
            <w:smallCaps w:val="0"/>
            <w:noProof/>
            <w:webHidden/>
            <w:sz w:val="22"/>
            <w:lang w:eastAsia="en-US"/>
          </w:rPr>
          <w:fldChar w:fldCharType="begin"/>
        </w:r>
        <w:r w:rsidR="0068254E" w:rsidRPr="0068254E">
          <w:rPr>
            <w:rFonts w:eastAsia="Calibri"/>
            <w:b w:val="0"/>
            <w:smallCaps w:val="0"/>
            <w:noProof/>
            <w:webHidden/>
            <w:sz w:val="22"/>
            <w:lang w:eastAsia="en-US"/>
          </w:rPr>
          <w:instrText xml:space="preserve"> PAGEREF _Toc229052195 \h </w:instrText>
        </w:r>
        <w:r w:rsidR="0068254E" w:rsidRPr="0068254E">
          <w:rPr>
            <w:rFonts w:eastAsia="Calibri"/>
            <w:b w:val="0"/>
            <w:smallCaps w:val="0"/>
            <w:noProof/>
            <w:webHidden/>
            <w:sz w:val="22"/>
            <w:lang w:eastAsia="en-US"/>
          </w:rPr>
        </w:r>
        <w:r w:rsidR="0068254E" w:rsidRPr="0068254E">
          <w:rPr>
            <w:rFonts w:eastAsia="Calibri"/>
            <w:b w:val="0"/>
            <w:smallCaps w:val="0"/>
            <w:noProof/>
            <w:webHidden/>
            <w:sz w:val="22"/>
            <w:lang w:eastAsia="en-US"/>
          </w:rPr>
          <w:fldChar w:fldCharType="separate"/>
        </w:r>
        <w:r w:rsidR="005D6701">
          <w:rPr>
            <w:rFonts w:eastAsia="Calibri"/>
            <w:b w:val="0"/>
            <w:smallCaps w:val="0"/>
            <w:noProof/>
            <w:webHidden/>
            <w:sz w:val="22"/>
            <w:lang w:eastAsia="en-US"/>
          </w:rPr>
          <w:t>24</w:t>
        </w:r>
        <w:r w:rsidR="0068254E" w:rsidRPr="0068254E">
          <w:rPr>
            <w:rFonts w:eastAsia="Calibri"/>
            <w:b w:val="0"/>
            <w:smallCaps w:val="0"/>
            <w:noProof/>
            <w:webHidden/>
            <w:sz w:val="22"/>
            <w:lang w:eastAsia="en-US"/>
          </w:rPr>
          <w:fldChar w:fldCharType="end"/>
        </w:r>
      </w:hyperlink>
    </w:p>
    <w:p w:rsidR="0068254E" w:rsidRPr="0068254E" w:rsidRDefault="009404FC">
      <w:pPr>
        <w:pStyle w:val="27"/>
        <w:rPr>
          <w:rFonts w:eastAsia="Calibri"/>
          <w:b w:val="0"/>
          <w:smallCaps w:val="0"/>
          <w:noProof/>
          <w:sz w:val="22"/>
          <w:lang w:eastAsia="en-US"/>
        </w:rPr>
      </w:pPr>
      <w:hyperlink w:anchor="_Toc229052196" w:history="1">
        <w:r w:rsidR="0068254E" w:rsidRPr="0068254E">
          <w:rPr>
            <w:rFonts w:eastAsia="Calibri"/>
            <w:b w:val="0"/>
            <w:smallCaps w:val="0"/>
            <w:noProof/>
            <w:sz w:val="22"/>
            <w:lang w:eastAsia="en-US"/>
          </w:rPr>
          <w:t>4.7. Система управления рисками</w:t>
        </w:r>
        <w:r w:rsidR="0068254E" w:rsidRPr="0068254E">
          <w:rPr>
            <w:rFonts w:eastAsia="Calibri"/>
            <w:b w:val="0"/>
            <w:smallCaps w:val="0"/>
            <w:noProof/>
            <w:webHidden/>
            <w:sz w:val="22"/>
            <w:lang w:eastAsia="en-US"/>
          </w:rPr>
          <w:tab/>
        </w:r>
        <w:r w:rsidR="0068254E" w:rsidRPr="0068254E">
          <w:rPr>
            <w:rFonts w:eastAsia="Calibri"/>
            <w:b w:val="0"/>
            <w:smallCaps w:val="0"/>
            <w:noProof/>
            <w:webHidden/>
            <w:sz w:val="22"/>
            <w:lang w:eastAsia="en-US"/>
          </w:rPr>
          <w:fldChar w:fldCharType="begin"/>
        </w:r>
        <w:r w:rsidR="0068254E" w:rsidRPr="0068254E">
          <w:rPr>
            <w:rFonts w:eastAsia="Calibri"/>
            <w:b w:val="0"/>
            <w:smallCaps w:val="0"/>
            <w:noProof/>
            <w:webHidden/>
            <w:sz w:val="22"/>
            <w:lang w:eastAsia="en-US"/>
          </w:rPr>
          <w:instrText xml:space="preserve"> PAGEREF _Toc229052196 \h </w:instrText>
        </w:r>
        <w:r w:rsidR="0068254E" w:rsidRPr="0068254E">
          <w:rPr>
            <w:rFonts w:eastAsia="Calibri"/>
            <w:b w:val="0"/>
            <w:smallCaps w:val="0"/>
            <w:noProof/>
            <w:webHidden/>
            <w:sz w:val="22"/>
            <w:lang w:eastAsia="en-US"/>
          </w:rPr>
        </w:r>
        <w:r w:rsidR="0068254E" w:rsidRPr="0068254E">
          <w:rPr>
            <w:rFonts w:eastAsia="Calibri"/>
            <w:b w:val="0"/>
            <w:smallCaps w:val="0"/>
            <w:noProof/>
            <w:webHidden/>
            <w:sz w:val="22"/>
            <w:lang w:eastAsia="en-US"/>
          </w:rPr>
          <w:fldChar w:fldCharType="separate"/>
        </w:r>
        <w:r w:rsidR="005D6701">
          <w:rPr>
            <w:rFonts w:eastAsia="Calibri"/>
            <w:b w:val="0"/>
            <w:smallCaps w:val="0"/>
            <w:noProof/>
            <w:webHidden/>
            <w:sz w:val="22"/>
            <w:lang w:eastAsia="en-US"/>
          </w:rPr>
          <w:t>24</w:t>
        </w:r>
        <w:r w:rsidR="0068254E" w:rsidRPr="0068254E">
          <w:rPr>
            <w:rFonts w:eastAsia="Calibri"/>
            <w:b w:val="0"/>
            <w:smallCaps w:val="0"/>
            <w:noProof/>
            <w:webHidden/>
            <w:sz w:val="22"/>
            <w:lang w:eastAsia="en-US"/>
          </w:rPr>
          <w:fldChar w:fldCharType="end"/>
        </w:r>
      </w:hyperlink>
    </w:p>
    <w:p w:rsidR="0068254E" w:rsidRPr="0068254E" w:rsidRDefault="009404FC">
      <w:pPr>
        <w:pStyle w:val="27"/>
        <w:rPr>
          <w:rFonts w:eastAsia="Calibri"/>
          <w:b w:val="0"/>
          <w:smallCaps w:val="0"/>
          <w:noProof/>
          <w:sz w:val="22"/>
          <w:lang w:eastAsia="en-US"/>
        </w:rPr>
      </w:pPr>
      <w:hyperlink w:anchor="_Toc229052197" w:history="1">
        <w:r w:rsidR="0068254E" w:rsidRPr="0068254E">
          <w:rPr>
            <w:rFonts w:eastAsia="Calibri"/>
            <w:b w:val="0"/>
            <w:smallCaps w:val="0"/>
            <w:noProof/>
            <w:sz w:val="22"/>
            <w:lang w:eastAsia="en-US"/>
          </w:rPr>
          <w:t>4.8. Система внутреннего контроля</w:t>
        </w:r>
        <w:r w:rsidR="0068254E" w:rsidRPr="0068254E">
          <w:rPr>
            <w:rFonts w:eastAsia="Calibri"/>
            <w:b w:val="0"/>
            <w:smallCaps w:val="0"/>
            <w:noProof/>
            <w:webHidden/>
            <w:sz w:val="22"/>
            <w:lang w:eastAsia="en-US"/>
          </w:rPr>
          <w:tab/>
        </w:r>
        <w:r w:rsidR="0068254E" w:rsidRPr="0068254E">
          <w:rPr>
            <w:rFonts w:eastAsia="Calibri"/>
            <w:b w:val="0"/>
            <w:smallCaps w:val="0"/>
            <w:noProof/>
            <w:webHidden/>
            <w:sz w:val="22"/>
            <w:lang w:eastAsia="en-US"/>
          </w:rPr>
          <w:fldChar w:fldCharType="begin"/>
        </w:r>
        <w:r w:rsidR="0068254E" w:rsidRPr="0068254E">
          <w:rPr>
            <w:rFonts w:eastAsia="Calibri"/>
            <w:b w:val="0"/>
            <w:smallCaps w:val="0"/>
            <w:noProof/>
            <w:webHidden/>
            <w:sz w:val="22"/>
            <w:lang w:eastAsia="en-US"/>
          </w:rPr>
          <w:instrText xml:space="preserve"> PAGEREF _Toc229052197 \h </w:instrText>
        </w:r>
        <w:r w:rsidR="0068254E" w:rsidRPr="0068254E">
          <w:rPr>
            <w:rFonts w:eastAsia="Calibri"/>
            <w:b w:val="0"/>
            <w:smallCaps w:val="0"/>
            <w:noProof/>
            <w:webHidden/>
            <w:sz w:val="22"/>
            <w:lang w:eastAsia="en-US"/>
          </w:rPr>
        </w:r>
        <w:r w:rsidR="0068254E" w:rsidRPr="0068254E">
          <w:rPr>
            <w:rFonts w:eastAsia="Calibri"/>
            <w:b w:val="0"/>
            <w:smallCaps w:val="0"/>
            <w:noProof/>
            <w:webHidden/>
            <w:sz w:val="22"/>
            <w:lang w:eastAsia="en-US"/>
          </w:rPr>
          <w:fldChar w:fldCharType="separate"/>
        </w:r>
        <w:r w:rsidR="005D6701">
          <w:rPr>
            <w:rFonts w:eastAsia="Calibri"/>
            <w:b w:val="0"/>
            <w:smallCaps w:val="0"/>
            <w:noProof/>
            <w:webHidden/>
            <w:sz w:val="22"/>
            <w:lang w:eastAsia="en-US"/>
          </w:rPr>
          <w:t>27</w:t>
        </w:r>
        <w:r w:rsidR="0068254E" w:rsidRPr="0068254E">
          <w:rPr>
            <w:rFonts w:eastAsia="Calibri"/>
            <w:b w:val="0"/>
            <w:smallCaps w:val="0"/>
            <w:noProof/>
            <w:webHidden/>
            <w:sz w:val="22"/>
            <w:lang w:eastAsia="en-US"/>
          </w:rPr>
          <w:fldChar w:fldCharType="end"/>
        </w:r>
      </w:hyperlink>
    </w:p>
    <w:p w:rsidR="0068254E" w:rsidRPr="0068254E" w:rsidRDefault="009404FC">
      <w:pPr>
        <w:pStyle w:val="27"/>
        <w:rPr>
          <w:rFonts w:eastAsia="Calibri"/>
          <w:b w:val="0"/>
          <w:smallCaps w:val="0"/>
          <w:noProof/>
          <w:sz w:val="22"/>
          <w:lang w:eastAsia="en-US"/>
        </w:rPr>
      </w:pPr>
      <w:hyperlink w:anchor="_Toc229052198" w:history="1">
        <w:r w:rsidR="0068254E" w:rsidRPr="0068254E">
          <w:rPr>
            <w:rFonts w:eastAsia="Calibri"/>
            <w:b w:val="0"/>
            <w:smallCaps w:val="0"/>
            <w:noProof/>
            <w:sz w:val="22"/>
            <w:lang w:eastAsia="en-US"/>
          </w:rPr>
          <w:t>4.9. Служба внутреннего аудита</w:t>
        </w:r>
        <w:r w:rsidR="0068254E" w:rsidRPr="0068254E">
          <w:rPr>
            <w:rFonts w:eastAsia="Calibri"/>
            <w:b w:val="0"/>
            <w:smallCaps w:val="0"/>
            <w:noProof/>
            <w:webHidden/>
            <w:sz w:val="22"/>
            <w:lang w:eastAsia="en-US"/>
          </w:rPr>
          <w:tab/>
        </w:r>
        <w:r w:rsidR="0068254E" w:rsidRPr="0068254E">
          <w:rPr>
            <w:rFonts w:eastAsia="Calibri"/>
            <w:b w:val="0"/>
            <w:smallCaps w:val="0"/>
            <w:noProof/>
            <w:webHidden/>
            <w:sz w:val="22"/>
            <w:lang w:eastAsia="en-US"/>
          </w:rPr>
          <w:fldChar w:fldCharType="begin"/>
        </w:r>
        <w:r w:rsidR="0068254E" w:rsidRPr="0068254E">
          <w:rPr>
            <w:rFonts w:eastAsia="Calibri"/>
            <w:b w:val="0"/>
            <w:smallCaps w:val="0"/>
            <w:noProof/>
            <w:webHidden/>
            <w:sz w:val="22"/>
            <w:lang w:eastAsia="en-US"/>
          </w:rPr>
          <w:instrText xml:space="preserve"> PAGEREF _Toc229052198 \h </w:instrText>
        </w:r>
        <w:r w:rsidR="0068254E" w:rsidRPr="0068254E">
          <w:rPr>
            <w:rFonts w:eastAsia="Calibri"/>
            <w:b w:val="0"/>
            <w:smallCaps w:val="0"/>
            <w:noProof/>
            <w:webHidden/>
            <w:sz w:val="22"/>
            <w:lang w:eastAsia="en-US"/>
          </w:rPr>
        </w:r>
        <w:r w:rsidR="0068254E" w:rsidRPr="0068254E">
          <w:rPr>
            <w:rFonts w:eastAsia="Calibri"/>
            <w:b w:val="0"/>
            <w:smallCaps w:val="0"/>
            <w:noProof/>
            <w:webHidden/>
            <w:sz w:val="22"/>
            <w:lang w:eastAsia="en-US"/>
          </w:rPr>
          <w:fldChar w:fldCharType="separate"/>
        </w:r>
        <w:r w:rsidR="005D6701">
          <w:rPr>
            <w:rFonts w:eastAsia="Calibri"/>
            <w:b w:val="0"/>
            <w:smallCaps w:val="0"/>
            <w:noProof/>
            <w:webHidden/>
            <w:sz w:val="22"/>
            <w:lang w:eastAsia="en-US"/>
          </w:rPr>
          <w:t>30</w:t>
        </w:r>
        <w:r w:rsidR="0068254E" w:rsidRPr="0068254E">
          <w:rPr>
            <w:rFonts w:eastAsia="Calibri"/>
            <w:b w:val="0"/>
            <w:smallCaps w:val="0"/>
            <w:noProof/>
            <w:webHidden/>
            <w:sz w:val="22"/>
            <w:lang w:eastAsia="en-US"/>
          </w:rPr>
          <w:fldChar w:fldCharType="end"/>
        </w:r>
      </w:hyperlink>
    </w:p>
    <w:p w:rsidR="0068254E" w:rsidRPr="0068254E" w:rsidRDefault="009404FC">
      <w:pPr>
        <w:pStyle w:val="27"/>
        <w:rPr>
          <w:rFonts w:eastAsia="Calibri"/>
          <w:b w:val="0"/>
          <w:smallCaps w:val="0"/>
          <w:noProof/>
          <w:sz w:val="22"/>
          <w:lang w:eastAsia="en-US"/>
        </w:rPr>
      </w:pPr>
      <w:hyperlink w:anchor="_Toc229052199" w:history="1">
        <w:r w:rsidR="0068254E" w:rsidRPr="0068254E">
          <w:rPr>
            <w:rFonts w:eastAsia="Calibri"/>
            <w:b w:val="0"/>
            <w:smallCaps w:val="0"/>
            <w:noProof/>
            <w:sz w:val="22"/>
            <w:lang w:eastAsia="en-US"/>
          </w:rPr>
          <w:t>4.10. Подходы к осуществлению внешнего аудита</w:t>
        </w:r>
        <w:r w:rsidR="0068254E" w:rsidRPr="0068254E">
          <w:rPr>
            <w:rFonts w:eastAsia="Calibri"/>
            <w:b w:val="0"/>
            <w:smallCaps w:val="0"/>
            <w:noProof/>
            <w:webHidden/>
            <w:sz w:val="22"/>
            <w:lang w:eastAsia="en-US"/>
          </w:rPr>
          <w:tab/>
        </w:r>
        <w:r w:rsidR="0068254E" w:rsidRPr="0068254E">
          <w:rPr>
            <w:rFonts w:eastAsia="Calibri"/>
            <w:b w:val="0"/>
            <w:smallCaps w:val="0"/>
            <w:noProof/>
            <w:webHidden/>
            <w:sz w:val="22"/>
            <w:lang w:eastAsia="en-US"/>
          </w:rPr>
          <w:fldChar w:fldCharType="begin"/>
        </w:r>
        <w:r w:rsidR="0068254E" w:rsidRPr="0068254E">
          <w:rPr>
            <w:rFonts w:eastAsia="Calibri"/>
            <w:b w:val="0"/>
            <w:smallCaps w:val="0"/>
            <w:noProof/>
            <w:webHidden/>
            <w:sz w:val="22"/>
            <w:lang w:eastAsia="en-US"/>
          </w:rPr>
          <w:instrText xml:space="preserve"> PAGEREF _Toc229052199 \h </w:instrText>
        </w:r>
        <w:r w:rsidR="0068254E" w:rsidRPr="0068254E">
          <w:rPr>
            <w:rFonts w:eastAsia="Calibri"/>
            <w:b w:val="0"/>
            <w:smallCaps w:val="0"/>
            <w:noProof/>
            <w:webHidden/>
            <w:sz w:val="22"/>
            <w:lang w:eastAsia="en-US"/>
          </w:rPr>
        </w:r>
        <w:r w:rsidR="0068254E" w:rsidRPr="0068254E">
          <w:rPr>
            <w:rFonts w:eastAsia="Calibri"/>
            <w:b w:val="0"/>
            <w:smallCaps w:val="0"/>
            <w:noProof/>
            <w:webHidden/>
            <w:sz w:val="22"/>
            <w:lang w:eastAsia="en-US"/>
          </w:rPr>
          <w:fldChar w:fldCharType="separate"/>
        </w:r>
        <w:r w:rsidR="005D6701">
          <w:rPr>
            <w:rFonts w:eastAsia="Calibri"/>
            <w:b w:val="0"/>
            <w:smallCaps w:val="0"/>
            <w:noProof/>
            <w:webHidden/>
            <w:sz w:val="22"/>
            <w:lang w:eastAsia="en-US"/>
          </w:rPr>
          <w:t>32</w:t>
        </w:r>
        <w:r w:rsidR="0068254E" w:rsidRPr="0068254E">
          <w:rPr>
            <w:rFonts w:eastAsia="Calibri"/>
            <w:b w:val="0"/>
            <w:smallCaps w:val="0"/>
            <w:noProof/>
            <w:webHidden/>
            <w:sz w:val="22"/>
            <w:lang w:eastAsia="en-US"/>
          </w:rPr>
          <w:fldChar w:fldCharType="end"/>
        </w:r>
      </w:hyperlink>
    </w:p>
    <w:p w:rsidR="0068254E" w:rsidRPr="0068254E" w:rsidRDefault="009404FC">
      <w:pPr>
        <w:pStyle w:val="27"/>
        <w:rPr>
          <w:rFonts w:eastAsia="Calibri"/>
          <w:b w:val="0"/>
          <w:smallCaps w:val="0"/>
          <w:noProof/>
          <w:sz w:val="22"/>
          <w:lang w:eastAsia="en-US"/>
        </w:rPr>
      </w:pPr>
      <w:hyperlink w:anchor="_Toc229052200" w:history="1">
        <w:r w:rsidR="0068254E" w:rsidRPr="0068254E">
          <w:rPr>
            <w:rFonts w:eastAsia="Calibri"/>
            <w:b w:val="0"/>
            <w:smallCaps w:val="0"/>
            <w:noProof/>
            <w:sz w:val="22"/>
            <w:lang w:eastAsia="en-US"/>
          </w:rPr>
          <w:t>4.11. Управление конфликтом интересов и противодействие финансовым преступлениям</w:t>
        </w:r>
        <w:r w:rsidR="0068254E" w:rsidRPr="0068254E">
          <w:rPr>
            <w:rFonts w:eastAsia="Calibri"/>
            <w:b w:val="0"/>
            <w:smallCaps w:val="0"/>
            <w:noProof/>
            <w:webHidden/>
            <w:sz w:val="22"/>
            <w:lang w:eastAsia="en-US"/>
          </w:rPr>
          <w:tab/>
        </w:r>
        <w:r w:rsidR="0068254E" w:rsidRPr="0068254E">
          <w:rPr>
            <w:rFonts w:eastAsia="Calibri"/>
            <w:b w:val="0"/>
            <w:smallCaps w:val="0"/>
            <w:noProof/>
            <w:webHidden/>
            <w:sz w:val="22"/>
            <w:lang w:eastAsia="en-US"/>
          </w:rPr>
          <w:fldChar w:fldCharType="begin"/>
        </w:r>
        <w:r w:rsidR="0068254E" w:rsidRPr="0068254E">
          <w:rPr>
            <w:rFonts w:eastAsia="Calibri"/>
            <w:b w:val="0"/>
            <w:smallCaps w:val="0"/>
            <w:noProof/>
            <w:webHidden/>
            <w:sz w:val="22"/>
            <w:lang w:eastAsia="en-US"/>
          </w:rPr>
          <w:instrText xml:space="preserve"> PAGEREF _Toc229052200 \h </w:instrText>
        </w:r>
        <w:r w:rsidR="0068254E" w:rsidRPr="0068254E">
          <w:rPr>
            <w:rFonts w:eastAsia="Calibri"/>
            <w:b w:val="0"/>
            <w:smallCaps w:val="0"/>
            <w:noProof/>
            <w:webHidden/>
            <w:sz w:val="22"/>
            <w:lang w:eastAsia="en-US"/>
          </w:rPr>
        </w:r>
        <w:r w:rsidR="0068254E" w:rsidRPr="0068254E">
          <w:rPr>
            <w:rFonts w:eastAsia="Calibri"/>
            <w:b w:val="0"/>
            <w:smallCaps w:val="0"/>
            <w:noProof/>
            <w:webHidden/>
            <w:sz w:val="22"/>
            <w:lang w:eastAsia="en-US"/>
          </w:rPr>
          <w:fldChar w:fldCharType="separate"/>
        </w:r>
        <w:r w:rsidR="005D6701">
          <w:rPr>
            <w:rFonts w:eastAsia="Calibri"/>
            <w:b w:val="0"/>
            <w:smallCaps w:val="0"/>
            <w:noProof/>
            <w:webHidden/>
            <w:sz w:val="22"/>
            <w:lang w:eastAsia="en-US"/>
          </w:rPr>
          <w:t>33</w:t>
        </w:r>
        <w:r w:rsidR="0068254E" w:rsidRPr="0068254E">
          <w:rPr>
            <w:rFonts w:eastAsia="Calibri"/>
            <w:b w:val="0"/>
            <w:smallCaps w:val="0"/>
            <w:noProof/>
            <w:webHidden/>
            <w:sz w:val="22"/>
            <w:lang w:eastAsia="en-US"/>
          </w:rPr>
          <w:fldChar w:fldCharType="end"/>
        </w:r>
      </w:hyperlink>
    </w:p>
    <w:p w:rsidR="0068254E" w:rsidRPr="0068254E" w:rsidRDefault="009404FC">
      <w:pPr>
        <w:pStyle w:val="27"/>
        <w:rPr>
          <w:rFonts w:eastAsia="Calibri"/>
          <w:b w:val="0"/>
          <w:smallCaps w:val="0"/>
          <w:noProof/>
          <w:sz w:val="22"/>
          <w:lang w:eastAsia="en-US"/>
        </w:rPr>
      </w:pPr>
      <w:hyperlink w:anchor="_Toc229052201" w:history="1">
        <w:r w:rsidR="0068254E" w:rsidRPr="0068254E">
          <w:rPr>
            <w:rFonts w:eastAsia="Calibri"/>
            <w:b w:val="0"/>
            <w:smallCaps w:val="0"/>
            <w:noProof/>
            <w:sz w:val="22"/>
            <w:lang w:eastAsia="en-US"/>
          </w:rPr>
          <w:t>4.12. Вознаграждение и компенсация расходов: политика, практика и данные по органам управления и ключевым работникам Банка</w:t>
        </w:r>
        <w:r w:rsidR="0068254E" w:rsidRPr="0068254E">
          <w:rPr>
            <w:rFonts w:eastAsia="Calibri"/>
            <w:b w:val="0"/>
            <w:smallCaps w:val="0"/>
            <w:noProof/>
            <w:webHidden/>
            <w:sz w:val="22"/>
            <w:lang w:eastAsia="en-US"/>
          </w:rPr>
          <w:tab/>
        </w:r>
        <w:r w:rsidR="0068254E" w:rsidRPr="0068254E">
          <w:rPr>
            <w:rFonts w:eastAsia="Calibri"/>
            <w:b w:val="0"/>
            <w:smallCaps w:val="0"/>
            <w:noProof/>
            <w:webHidden/>
            <w:sz w:val="22"/>
            <w:lang w:eastAsia="en-US"/>
          </w:rPr>
          <w:fldChar w:fldCharType="begin"/>
        </w:r>
        <w:r w:rsidR="0068254E" w:rsidRPr="0068254E">
          <w:rPr>
            <w:rFonts w:eastAsia="Calibri"/>
            <w:b w:val="0"/>
            <w:smallCaps w:val="0"/>
            <w:noProof/>
            <w:webHidden/>
            <w:sz w:val="22"/>
            <w:lang w:eastAsia="en-US"/>
          </w:rPr>
          <w:instrText xml:space="preserve"> PAGEREF _Toc229052201 \h </w:instrText>
        </w:r>
        <w:r w:rsidR="0068254E" w:rsidRPr="0068254E">
          <w:rPr>
            <w:rFonts w:eastAsia="Calibri"/>
            <w:b w:val="0"/>
            <w:smallCaps w:val="0"/>
            <w:noProof/>
            <w:webHidden/>
            <w:sz w:val="22"/>
            <w:lang w:eastAsia="en-US"/>
          </w:rPr>
        </w:r>
        <w:r w:rsidR="0068254E" w:rsidRPr="0068254E">
          <w:rPr>
            <w:rFonts w:eastAsia="Calibri"/>
            <w:b w:val="0"/>
            <w:smallCaps w:val="0"/>
            <w:noProof/>
            <w:webHidden/>
            <w:sz w:val="22"/>
            <w:lang w:eastAsia="en-US"/>
          </w:rPr>
          <w:fldChar w:fldCharType="separate"/>
        </w:r>
        <w:r w:rsidR="005D6701">
          <w:rPr>
            <w:rFonts w:eastAsia="Calibri"/>
            <w:b w:val="0"/>
            <w:smallCaps w:val="0"/>
            <w:noProof/>
            <w:webHidden/>
            <w:sz w:val="22"/>
            <w:lang w:eastAsia="en-US"/>
          </w:rPr>
          <w:t>36</w:t>
        </w:r>
        <w:r w:rsidR="0068254E" w:rsidRPr="0068254E">
          <w:rPr>
            <w:rFonts w:eastAsia="Calibri"/>
            <w:b w:val="0"/>
            <w:smallCaps w:val="0"/>
            <w:noProof/>
            <w:webHidden/>
            <w:sz w:val="22"/>
            <w:lang w:eastAsia="en-US"/>
          </w:rPr>
          <w:fldChar w:fldCharType="end"/>
        </w:r>
      </w:hyperlink>
    </w:p>
    <w:p w:rsidR="0068254E" w:rsidRPr="0068254E" w:rsidRDefault="009404FC">
      <w:pPr>
        <w:pStyle w:val="27"/>
        <w:rPr>
          <w:rFonts w:eastAsia="Calibri"/>
          <w:b w:val="0"/>
          <w:smallCaps w:val="0"/>
          <w:noProof/>
          <w:sz w:val="22"/>
          <w:lang w:eastAsia="en-US"/>
        </w:rPr>
      </w:pPr>
      <w:hyperlink w:anchor="_Toc229052202" w:history="1">
        <w:r w:rsidR="0068254E" w:rsidRPr="0068254E">
          <w:rPr>
            <w:rFonts w:eastAsia="Calibri"/>
            <w:b w:val="0"/>
            <w:smallCaps w:val="0"/>
            <w:noProof/>
            <w:sz w:val="22"/>
            <w:lang w:eastAsia="en-US"/>
          </w:rPr>
          <w:t>4.13. Сведения о соблюдении принципов и рекомендаций Кодекса корпоративного управления, рекомендованного к применению Банком России</w:t>
        </w:r>
        <w:r w:rsidR="0068254E" w:rsidRPr="0068254E">
          <w:rPr>
            <w:rFonts w:eastAsia="Calibri"/>
            <w:b w:val="0"/>
            <w:smallCaps w:val="0"/>
            <w:noProof/>
            <w:webHidden/>
            <w:sz w:val="22"/>
            <w:lang w:eastAsia="en-US"/>
          </w:rPr>
          <w:tab/>
        </w:r>
        <w:r w:rsidR="0068254E" w:rsidRPr="0068254E">
          <w:rPr>
            <w:rFonts w:eastAsia="Calibri"/>
            <w:b w:val="0"/>
            <w:smallCaps w:val="0"/>
            <w:noProof/>
            <w:webHidden/>
            <w:sz w:val="22"/>
            <w:lang w:eastAsia="en-US"/>
          </w:rPr>
          <w:fldChar w:fldCharType="begin"/>
        </w:r>
        <w:r w:rsidR="0068254E" w:rsidRPr="0068254E">
          <w:rPr>
            <w:rFonts w:eastAsia="Calibri"/>
            <w:b w:val="0"/>
            <w:smallCaps w:val="0"/>
            <w:noProof/>
            <w:webHidden/>
            <w:sz w:val="22"/>
            <w:lang w:eastAsia="en-US"/>
          </w:rPr>
          <w:instrText xml:space="preserve"> PAGEREF _Toc229052202 \h </w:instrText>
        </w:r>
        <w:r w:rsidR="0068254E" w:rsidRPr="0068254E">
          <w:rPr>
            <w:rFonts w:eastAsia="Calibri"/>
            <w:b w:val="0"/>
            <w:smallCaps w:val="0"/>
            <w:noProof/>
            <w:webHidden/>
            <w:sz w:val="22"/>
            <w:lang w:eastAsia="en-US"/>
          </w:rPr>
        </w:r>
        <w:r w:rsidR="0068254E" w:rsidRPr="0068254E">
          <w:rPr>
            <w:rFonts w:eastAsia="Calibri"/>
            <w:b w:val="0"/>
            <w:smallCaps w:val="0"/>
            <w:noProof/>
            <w:webHidden/>
            <w:sz w:val="22"/>
            <w:lang w:eastAsia="en-US"/>
          </w:rPr>
          <w:fldChar w:fldCharType="separate"/>
        </w:r>
        <w:r w:rsidR="005D6701">
          <w:rPr>
            <w:rFonts w:eastAsia="Calibri"/>
            <w:b w:val="0"/>
            <w:smallCaps w:val="0"/>
            <w:noProof/>
            <w:webHidden/>
            <w:sz w:val="22"/>
            <w:lang w:eastAsia="en-US"/>
          </w:rPr>
          <w:t>43</w:t>
        </w:r>
        <w:r w:rsidR="0068254E" w:rsidRPr="0068254E">
          <w:rPr>
            <w:rFonts w:eastAsia="Calibri"/>
            <w:b w:val="0"/>
            <w:smallCaps w:val="0"/>
            <w:noProof/>
            <w:webHidden/>
            <w:sz w:val="22"/>
            <w:lang w:eastAsia="en-US"/>
          </w:rPr>
          <w:fldChar w:fldCharType="end"/>
        </w:r>
      </w:hyperlink>
    </w:p>
    <w:p w:rsidR="0068254E" w:rsidRPr="0068254E" w:rsidRDefault="009404FC">
      <w:pPr>
        <w:pStyle w:val="27"/>
        <w:rPr>
          <w:rFonts w:eastAsia="Calibri"/>
          <w:b w:val="0"/>
          <w:smallCaps w:val="0"/>
          <w:noProof/>
          <w:sz w:val="22"/>
          <w:lang w:eastAsia="en-US"/>
        </w:rPr>
      </w:pPr>
      <w:hyperlink w:anchor="_Toc229052203" w:history="1">
        <w:r w:rsidR="0068254E" w:rsidRPr="0068254E">
          <w:rPr>
            <w:rFonts w:eastAsia="Calibri"/>
            <w:b w:val="0"/>
            <w:smallCaps w:val="0"/>
            <w:noProof/>
            <w:sz w:val="22"/>
            <w:lang w:eastAsia="en-US"/>
          </w:rPr>
          <w:t>5. Устойчивое развитие</w:t>
        </w:r>
        <w:r w:rsidR="0068254E" w:rsidRPr="0068254E">
          <w:rPr>
            <w:rFonts w:eastAsia="Calibri"/>
            <w:b w:val="0"/>
            <w:smallCaps w:val="0"/>
            <w:noProof/>
            <w:webHidden/>
            <w:sz w:val="22"/>
            <w:lang w:eastAsia="en-US"/>
          </w:rPr>
          <w:tab/>
        </w:r>
        <w:r w:rsidR="0068254E" w:rsidRPr="0068254E">
          <w:rPr>
            <w:rFonts w:eastAsia="Calibri"/>
            <w:b w:val="0"/>
            <w:smallCaps w:val="0"/>
            <w:noProof/>
            <w:webHidden/>
            <w:sz w:val="22"/>
            <w:lang w:eastAsia="en-US"/>
          </w:rPr>
          <w:fldChar w:fldCharType="begin"/>
        </w:r>
        <w:r w:rsidR="0068254E" w:rsidRPr="0068254E">
          <w:rPr>
            <w:rFonts w:eastAsia="Calibri"/>
            <w:b w:val="0"/>
            <w:smallCaps w:val="0"/>
            <w:noProof/>
            <w:webHidden/>
            <w:sz w:val="22"/>
            <w:lang w:eastAsia="en-US"/>
          </w:rPr>
          <w:instrText xml:space="preserve"> PAGEREF _Toc229052203 \h </w:instrText>
        </w:r>
        <w:r w:rsidR="0068254E" w:rsidRPr="0068254E">
          <w:rPr>
            <w:rFonts w:eastAsia="Calibri"/>
            <w:b w:val="0"/>
            <w:smallCaps w:val="0"/>
            <w:noProof/>
            <w:webHidden/>
            <w:sz w:val="22"/>
            <w:lang w:eastAsia="en-US"/>
          </w:rPr>
        </w:r>
        <w:r w:rsidR="0068254E" w:rsidRPr="0068254E">
          <w:rPr>
            <w:rFonts w:eastAsia="Calibri"/>
            <w:b w:val="0"/>
            <w:smallCaps w:val="0"/>
            <w:noProof/>
            <w:webHidden/>
            <w:sz w:val="22"/>
            <w:lang w:eastAsia="en-US"/>
          </w:rPr>
          <w:fldChar w:fldCharType="separate"/>
        </w:r>
        <w:r w:rsidR="005D6701">
          <w:rPr>
            <w:rFonts w:eastAsia="Calibri"/>
            <w:b w:val="0"/>
            <w:smallCaps w:val="0"/>
            <w:noProof/>
            <w:webHidden/>
            <w:sz w:val="22"/>
            <w:lang w:eastAsia="en-US"/>
          </w:rPr>
          <w:t>43</w:t>
        </w:r>
        <w:r w:rsidR="0068254E" w:rsidRPr="0068254E">
          <w:rPr>
            <w:rFonts w:eastAsia="Calibri"/>
            <w:b w:val="0"/>
            <w:smallCaps w:val="0"/>
            <w:noProof/>
            <w:webHidden/>
            <w:sz w:val="22"/>
            <w:lang w:eastAsia="en-US"/>
          </w:rPr>
          <w:fldChar w:fldCharType="end"/>
        </w:r>
      </w:hyperlink>
    </w:p>
    <w:p w:rsidR="0068254E" w:rsidRPr="0068254E" w:rsidRDefault="009404FC">
      <w:pPr>
        <w:pStyle w:val="27"/>
        <w:rPr>
          <w:rFonts w:eastAsia="Calibri"/>
          <w:b w:val="0"/>
          <w:smallCaps w:val="0"/>
          <w:noProof/>
          <w:sz w:val="22"/>
          <w:lang w:eastAsia="en-US"/>
        </w:rPr>
      </w:pPr>
      <w:hyperlink w:anchor="_Toc229052204" w:history="1">
        <w:r w:rsidR="0068254E" w:rsidRPr="0068254E">
          <w:rPr>
            <w:rFonts w:eastAsia="Calibri"/>
            <w:b w:val="0"/>
            <w:smallCaps w:val="0"/>
            <w:noProof/>
            <w:sz w:val="22"/>
            <w:lang w:eastAsia="en-US"/>
          </w:rPr>
          <w:t>5.1. Экологические аспекты деятельности</w:t>
        </w:r>
        <w:r w:rsidR="0068254E" w:rsidRPr="0068254E">
          <w:rPr>
            <w:rFonts w:eastAsia="Calibri"/>
            <w:b w:val="0"/>
            <w:smallCaps w:val="0"/>
            <w:noProof/>
            <w:webHidden/>
            <w:sz w:val="22"/>
            <w:lang w:eastAsia="en-US"/>
          </w:rPr>
          <w:tab/>
        </w:r>
        <w:r w:rsidR="0068254E" w:rsidRPr="0068254E">
          <w:rPr>
            <w:rFonts w:eastAsia="Calibri"/>
            <w:b w:val="0"/>
            <w:smallCaps w:val="0"/>
            <w:noProof/>
            <w:webHidden/>
            <w:sz w:val="22"/>
            <w:lang w:eastAsia="en-US"/>
          </w:rPr>
          <w:fldChar w:fldCharType="begin"/>
        </w:r>
        <w:r w:rsidR="0068254E" w:rsidRPr="0068254E">
          <w:rPr>
            <w:rFonts w:eastAsia="Calibri"/>
            <w:b w:val="0"/>
            <w:smallCaps w:val="0"/>
            <w:noProof/>
            <w:webHidden/>
            <w:sz w:val="22"/>
            <w:lang w:eastAsia="en-US"/>
          </w:rPr>
          <w:instrText xml:space="preserve"> PAGEREF _Toc229052204 \h </w:instrText>
        </w:r>
        <w:r w:rsidR="0068254E" w:rsidRPr="0068254E">
          <w:rPr>
            <w:rFonts w:eastAsia="Calibri"/>
            <w:b w:val="0"/>
            <w:smallCaps w:val="0"/>
            <w:noProof/>
            <w:webHidden/>
            <w:sz w:val="22"/>
            <w:lang w:eastAsia="en-US"/>
          </w:rPr>
        </w:r>
        <w:r w:rsidR="0068254E" w:rsidRPr="0068254E">
          <w:rPr>
            <w:rFonts w:eastAsia="Calibri"/>
            <w:b w:val="0"/>
            <w:smallCaps w:val="0"/>
            <w:noProof/>
            <w:webHidden/>
            <w:sz w:val="22"/>
            <w:lang w:eastAsia="en-US"/>
          </w:rPr>
          <w:fldChar w:fldCharType="separate"/>
        </w:r>
        <w:r w:rsidR="005D6701">
          <w:rPr>
            <w:rFonts w:eastAsia="Calibri"/>
            <w:b w:val="0"/>
            <w:smallCaps w:val="0"/>
            <w:noProof/>
            <w:webHidden/>
            <w:sz w:val="22"/>
            <w:lang w:eastAsia="en-US"/>
          </w:rPr>
          <w:t>44</w:t>
        </w:r>
        <w:r w:rsidR="0068254E" w:rsidRPr="0068254E">
          <w:rPr>
            <w:rFonts w:eastAsia="Calibri"/>
            <w:b w:val="0"/>
            <w:smallCaps w:val="0"/>
            <w:noProof/>
            <w:webHidden/>
            <w:sz w:val="22"/>
            <w:lang w:eastAsia="en-US"/>
          </w:rPr>
          <w:fldChar w:fldCharType="end"/>
        </w:r>
      </w:hyperlink>
    </w:p>
    <w:p w:rsidR="0068254E" w:rsidRPr="0068254E" w:rsidRDefault="009404FC">
      <w:pPr>
        <w:pStyle w:val="27"/>
        <w:rPr>
          <w:rFonts w:eastAsia="Calibri"/>
          <w:b w:val="0"/>
          <w:smallCaps w:val="0"/>
          <w:noProof/>
          <w:sz w:val="22"/>
          <w:lang w:eastAsia="en-US"/>
        </w:rPr>
      </w:pPr>
      <w:hyperlink w:anchor="_Toc229052205" w:history="1">
        <w:r w:rsidR="0068254E" w:rsidRPr="0068254E">
          <w:rPr>
            <w:rFonts w:eastAsia="Calibri"/>
            <w:b w:val="0"/>
            <w:smallCaps w:val="0"/>
            <w:noProof/>
            <w:sz w:val="22"/>
            <w:lang w:eastAsia="en-US"/>
          </w:rPr>
          <w:t>5.2. Социальные аспекты деятельности</w:t>
        </w:r>
        <w:r w:rsidR="0068254E" w:rsidRPr="0068254E">
          <w:rPr>
            <w:rFonts w:eastAsia="Calibri"/>
            <w:b w:val="0"/>
            <w:smallCaps w:val="0"/>
            <w:noProof/>
            <w:webHidden/>
            <w:sz w:val="22"/>
            <w:lang w:eastAsia="en-US"/>
          </w:rPr>
          <w:tab/>
        </w:r>
        <w:r w:rsidR="0068254E" w:rsidRPr="0068254E">
          <w:rPr>
            <w:rFonts w:eastAsia="Calibri"/>
            <w:b w:val="0"/>
            <w:smallCaps w:val="0"/>
            <w:noProof/>
            <w:webHidden/>
            <w:sz w:val="22"/>
            <w:lang w:eastAsia="en-US"/>
          </w:rPr>
          <w:fldChar w:fldCharType="begin"/>
        </w:r>
        <w:r w:rsidR="0068254E" w:rsidRPr="0068254E">
          <w:rPr>
            <w:rFonts w:eastAsia="Calibri"/>
            <w:b w:val="0"/>
            <w:smallCaps w:val="0"/>
            <w:noProof/>
            <w:webHidden/>
            <w:sz w:val="22"/>
            <w:lang w:eastAsia="en-US"/>
          </w:rPr>
          <w:instrText xml:space="preserve"> PAGEREF _Toc229052205 \h </w:instrText>
        </w:r>
        <w:r w:rsidR="0068254E" w:rsidRPr="0068254E">
          <w:rPr>
            <w:rFonts w:eastAsia="Calibri"/>
            <w:b w:val="0"/>
            <w:smallCaps w:val="0"/>
            <w:noProof/>
            <w:webHidden/>
            <w:sz w:val="22"/>
            <w:lang w:eastAsia="en-US"/>
          </w:rPr>
        </w:r>
        <w:r w:rsidR="0068254E" w:rsidRPr="0068254E">
          <w:rPr>
            <w:rFonts w:eastAsia="Calibri"/>
            <w:b w:val="0"/>
            <w:smallCaps w:val="0"/>
            <w:noProof/>
            <w:webHidden/>
            <w:sz w:val="22"/>
            <w:lang w:eastAsia="en-US"/>
          </w:rPr>
          <w:fldChar w:fldCharType="separate"/>
        </w:r>
        <w:r w:rsidR="005D6701">
          <w:rPr>
            <w:rFonts w:eastAsia="Calibri"/>
            <w:b w:val="0"/>
            <w:smallCaps w:val="0"/>
            <w:noProof/>
            <w:webHidden/>
            <w:sz w:val="22"/>
            <w:lang w:eastAsia="en-US"/>
          </w:rPr>
          <w:t>46</w:t>
        </w:r>
        <w:r w:rsidR="0068254E" w:rsidRPr="0068254E">
          <w:rPr>
            <w:rFonts w:eastAsia="Calibri"/>
            <w:b w:val="0"/>
            <w:smallCaps w:val="0"/>
            <w:noProof/>
            <w:webHidden/>
            <w:sz w:val="22"/>
            <w:lang w:eastAsia="en-US"/>
          </w:rPr>
          <w:fldChar w:fldCharType="end"/>
        </w:r>
      </w:hyperlink>
    </w:p>
    <w:p w:rsidR="0068254E" w:rsidRPr="0068254E" w:rsidRDefault="009404FC">
      <w:pPr>
        <w:pStyle w:val="27"/>
        <w:rPr>
          <w:rFonts w:eastAsia="Calibri"/>
          <w:b w:val="0"/>
          <w:smallCaps w:val="0"/>
          <w:noProof/>
          <w:sz w:val="22"/>
          <w:lang w:eastAsia="en-US"/>
        </w:rPr>
      </w:pPr>
      <w:hyperlink w:anchor="_Toc229052206" w:history="1">
        <w:r w:rsidR="0068254E" w:rsidRPr="0068254E">
          <w:rPr>
            <w:rFonts w:eastAsia="Calibri"/>
            <w:b w:val="0"/>
            <w:smallCaps w:val="0"/>
            <w:noProof/>
            <w:sz w:val="22"/>
            <w:lang w:eastAsia="en-US"/>
          </w:rPr>
          <w:t>6. Информационная безопасность</w:t>
        </w:r>
        <w:r w:rsidR="0068254E" w:rsidRPr="0068254E">
          <w:rPr>
            <w:rFonts w:eastAsia="Calibri"/>
            <w:b w:val="0"/>
            <w:smallCaps w:val="0"/>
            <w:noProof/>
            <w:webHidden/>
            <w:sz w:val="22"/>
            <w:lang w:eastAsia="en-US"/>
          </w:rPr>
          <w:tab/>
        </w:r>
        <w:r w:rsidR="0068254E" w:rsidRPr="0068254E">
          <w:rPr>
            <w:rFonts w:eastAsia="Calibri"/>
            <w:b w:val="0"/>
            <w:smallCaps w:val="0"/>
            <w:noProof/>
            <w:webHidden/>
            <w:sz w:val="22"/>
            <w:lang w:eastAsia="en-US"/>
          </w:rPr>
          <w:fldChar w:fldCharType="begin"/>
        </w:r>
        <w:r w:rsidR="0068254E" w:rsidRPr="0068254E">
          <w:rPr>
            <w:rFonts w:eastAsia="Calibri"/>
            <w:b w:val="0"/>
            <w:smallCaps w:val="0"/>
            <w:noProof/>
            <w:webHidden/>
            <w:sz w:val="22"/>
            <w:lang w:eastAsia="en-US"/>
          </w:rPr>
          <w:instrText xml:space="preserve"> PAGEREF _Toc229052206 \h </w:instrText>
        </w:r>
        <w:r w:rsidR="0068254E" w:rsidRPr="0068254E">
          <w:rPr>
            <w:rFonts w:eastAsia="Calibri"/>
            <w:b w:val="0"/>
            <w:smallCaps w:val="0"/>
            <w:noProof/>
            <w:webHidden/>
            <w:sz w:val="22"/>
            <w:lang w:eastAsia="en-US"/>
          </w:rPr>
        </w:r>
        <w:r w:rsidR="0068254E" w:rsidRPr="0068254E">
          <w:rPr>
            <w:rFonts w:eastAsia="Calibri"/>
            <w:b w:val="0"/>
            <w:smallCaps w:val="0"/>
            <w:noProof/>
            <w:webHidden/>
            <w:sz w:val="22"/>
            <w:lang w:eastAsia="en-US"/>
          </w:rPr>
          <w:fldChar w:fldCharType="separate"/>
        </w:r>
        <w:r w:rsidR="005D6701">
          <w:rPr>
            <w:rFonts w:eastAsia="Calibri"/>
            <w:b w:val="0"/>
            <w:smallCaps w:val="0"/>
            <w:noProof/>
            <w:webHidden/>
            <w:sz w:val="22"/>
            <w:lang w:eastAsia="en-US"/>
          </w:rPr>
          <w:t>52</w:t>
        </w:r>
        <w:r w:rsidR="0068254E" w:rsidRPr="0068254E">
          <w:rPr>
            <w:rFonts w:eastAsia="Calibri"/>
            <w:b w:val="0"/>
            <w:smallCaps w:val="0"/>
            <w:noProof/>
            <w:webHidden/>
            <w:sz w:val="22"/>
            <w:lang w:eastAsia="en-US"/>
          </w:rPr>
          <w:fldChar w:fldCharType="end"/>
        </w:r>
      </w:hyperlink>
    </w:p>
    <w:p w:rsidR="0068254E" w:rsidRPr="0068254E" w:rsidRDefault="009404FC">
      <w:pPr>
        <w:pStyle w:val="27"/>
        <w:rPr>
          <w:rFonts w:eastAsia="Calibri"/>
          <w:b w:val="0"/>
          <w:smallCaps w:val="0"/>
          <w:noProof/>
          <w:sz w:val="22"/>
          <w:lang w:eastAsia="en-US"/>
        </w:rPr>
      </w:pPr>
      <w:hyperlink w:anchor="_Toc229052207" w:history="1">
        <w:r w:rsidR="0068254E" w:rsidRPr="0068254E">
          <w:rPr>
            <w:rFonts w:eastAsia="Calibri"/>
            <w:b w:val="0"/>
            <w:smallCaps w:val="0"/>
            <w:noProof/>
            <w:sz w:val="22"/>
            <w:lang w:eastAsia="en-US"/>
          </w:rPr>
          <w:t>7. Информация о совершенных в отчетном году крупных сделках, и сделках, в совершении которых имеется заинтересованность</w:t>
        </w:r>
        <w:r w:rsidR="0068254E" w:rsidRPr="0068254E">
          <w:rPr>
            <w:rFonts w:eastAsia="Calibri"/>
            <w:b w:val="0"/>
            <w:smallCaps w:val="0"/>
            <w:noProof/>
            <w:webHidden/>
            <w:sz w:val="22"/>
            <w:lang w:eastAsia="en-US"/>
          </w:rPr>
          <w:tab/>
        </w:r>
        <w:r w:rsidR="0068254E" w:rsidRPr="0068254E">
          <w:rPr>
            <w:rFonts w:eastAsia="Calibri"/>
            <w:b w:val="0"/>
            <w:smallCaps w:val="0"/>
            <w:noProof/>
            <w:webHidden/>
            <w:sz w:val="22"/>
            <w:lang w:eastAsia="en-US"/>
          </w:rPr>
          <w:fldChar w:fldCharType="begin"/>
        </w:r>
        <w:r w:rsidR="0068254E" w:rsidRPr="0068254E">
          <w:rPr>
            <w:rFonts w:eastAsia="Calibri"/>
            <w:b w:val="0"/>
            <w:smallCaps w:val="0"/>
            <w:noProof/>
            <w:webHidden/>
            <w:sz w:val="22"/>
            <w:lang w:eastAsia="en-US"/>
          </w:rPr>
          <w:instrText xml:space="preserve"> PAGEREF _Toc229052207 \h </w:instrText>
        </w:r>
        <w:r w:rsidR="0068254E" w:rsidRPr="0068254E">
          <w:rPr>
            <w:rFonts w:eastAsia="Calibri"/>
            <w:b w:val="0"/>
            <w:smallCaps w:val="0"/>
            <w:noProof/>
            <w:webHidden/>
            <w:sz w:val="22"/>
            <w:lang w:eastAsia="en-US"/>
          </w:rPr>
        </w:r>
        <w:r w:rsidR="0068254E" w:rsidRPr="0068254E">
          <w:rPr>
            <w:rFonts w:eastAsia="Calibri"/>
            <w:b w:val="0"/>
            <w:smallCaps w:val="0"/>
            <w:noProof/>
            <w:webHidden/>
            <w:sz w:val="22"/>
            <w:lang w:eastAsia="en-US"/>
          </w:rPr>
          <w:fldChar w:fldCharType="separate"/>
        </w:r>
        <w:r w:rsidR="005D6701">
          <w:rPr>
            <w:rFonts w:eastAsia="Calibri"/>
            <w:b w:val="0"/>
            <w:smallCaps w:val="0"/>
            <w:noProof/>
            <w:webHidden/>
            <w:sz w:val="22"/>
            <w:lang w:eastAsia="en-US"/>
          </w:rPr>
          <w:t>55</w:t>
        </w:r>
        <w:r w:rsidR="0068254E" w:rsidRPr="0068254E">
          <w:rPr>
            <w:rFonts w:eastAsia="Calibri"/>
            <w:b w:val="0"/>
            <w:smallCaps w:val="0"/>
            <w:noProof/>
            <w:webHidden/>
            <w:sz w:val="22"/>
            <w:lang w:eastAsia="en-US"/>
          </w:rPr>
          <w:fldChar w:fldCharType="end"/>
        </w:r>
      </w:hyperlink>
    </w:p>
    <w:p w:rsidR="0068254E" w:rsidRPr="0068254E" w:rsidRDefault="009404FC">
      <w:pPr>
        <w:pStyle w:val="27"/>
        <w:rPr>
          <w:rFonts w:eastAsia="Calibri"/>
          <w:b w:val="0"/>
          <w:smallCaps w:val="0"/>
          <w:noProof/>
          <w:sz w:val="22"/>
          <w:lang w:eastAsia="en-US"/>
        </w:rPr>
      </w:pPr>
      <w:hyperlink w:anchor="_Toc229052208" w:history="1">
        <w:r w:rsidR="0068254E" w:rsidRPr="0068254E">
          <w:rPr>
            <w:rFonts w:eastAsia="Calibri"/>
            <w:b w:val="0"/>
            <w:smallCaps w:val="0"/>
            <w:noProof/>
            <w:sz w:val="22"/>
            <w:lang w:eastAsia="en-US"/>
          </w:rPr>
          <w:t>8. Консолидированная финансовая отчетность ПАО «БАНК УРАЛСИБ» за 2025 год</w:t>
        </w:r>
        <w:r w:rsidR="0068254E" w:rsidRPr="0068254E">
          <w:rPr>
            <w:rFonts w:eastAsia="Calibri"/>
            <w:b w:val="0"/>
            <w:smallCaps w:val="0"/>
            <w:noProof/>
            <w:webHidden/>
            <w:sz w:val="22"/>
            <w:lang w:eastAsia="en-US"/>
          </w:rPr>
          <w:tab/>
        </w:r>
        <w:r w:rsidR="0068254E" w:rsidRPr="0068254E">
          <w:rPr>
            <w:rFonts w:eastAsia="Calibri"/>
            <w:b w:val="0"/>
            <w:smallCaps w:val="0"/>
            <w:noProof/>
            <w:webHidden/>
            <w:sz w:val="22"/>
            <w:lang w:eastAsia="en-US"/>
          </w:rPr>
          <w:fldChar w:fldCharType="begin"/>
        </w:r>
        <w:r w:rsidR="0068254E" w:rsidRPr="0068254E">
          <w:rPr>
            <w:rFonts w:eastAsia="Calibri"/>
            <w:b w:val="0"/>
            <w:smallCaps w:val="0"/>
            <w:noProof/>
            <w:webHidden/>
            <w:sz w:val="22"/>
            <w:lang w:eastAsia="en-US"/>
          </w:rPr>
          <w:instrText xml:space="preserve"> PAGEREF _Toc229052208 \h </w:instrText>
        </w:r>
        <w:r w:rsidR="0068254E" w:rsidRPr="0068254E">
          <w:rPr>
            <w:rFonts w:eastAsia="Calibri"/>
            <w:b w:val="0"/>
            <w:smallCaps w:val="0"/>
            <w:noProof/>
            <w:webHidden/>
            <w:sz w:val="22"/>
            <w:lang w:eastAsia="en-US"/>
          </w:rPr>
        </w:r>
        <w:r w:rsidR="0068254E" w:rsidRPr="0068254E">
          <w:rPr>
            <w:rFonts w:eastAsia="Calibri"/>
            <w:b w:val="0"/>
            <w:smallCaps w:val="0"/>
            <w:noProof/>
            <w:webHidden/>
            <w:sz w:val="22"/>
            <w:lang w:eastAsia="en-US"/>
          </w:rPr>
          <w:fldChar w:fldCharType="separate"/>
        </w:r>
        <w:r w:rsidR="005D6701">
          <w:rPr>
            <w:rFonts w:eastAsia="Calibri"/>
            <w:b w:val="0"/>
            <w:smallCaps w:val="0"/>
            <w:noProof/>
            <w:webHidden/>
            <w:sz w:val="22"/>
            <w:lang w:eastAsia="en-US"/>
          </w:rPr>
          <w:t>55</w:t>
        </w:r>
        <w:r w:rsidR="0068254E" w:rsidRPr="0068254E">
          <w:rPr>
            <w:rFonts w:eastAsia="Calibri"/>
            <w:b w:val="0"/>
            <w:smallCaps w:val="0"/>
            <w:noProof/>
            <w:webHidden/>
            <w:sz w:val="22"/>
            <w:lang w:eastAsia="en-US"/>
          </w:rPr>
          <w:fldChar w:fldCharType="end"/>
        </w:r>
      </w:hyperlink>
    </w:p>
    <w:p w:rsidR="0068254E" w:rsidRPr="0068254E" w:rsidRDefault="009404FC">
      <w:pPr>
        <w:pStyle w:val="27"/>
        <w:rPr>
          <w:rFonts w:eastAsia="Calibri"/>
          <w:b w:val="0"/>
          <w:smallCaps w:val="0"/>
          <w:noProof/>
          <w:sz w:val="22"/>
          <w:lang w:eastAsia="en-US"/>
        </w:rPr>
      </w:pPr>
      <w:hyperlink w:anchor="_Toc229052209" w:history="1">
        <w:r w:rsidR="0068254E" w:rsidRPr="0068254E">
          <w:rPr>
            <w:rFonts w:eastAsia="Calibri"/>
            <w:b w:val="0"/>
            <w:smallCaps w:val="0"/>
            <w:noProof/>
            <w:sz w:val="22"/>
            <w:lang w:eastAsia="en-US"/>
          </w:rPr>
          <w:t>Приложение 1</w:t>
        </w:r>
        <w:r w:rsidR="0068254E" w:rsidRPr="0068254E">
          <w:rPr>
            <w:rFonts w:eastAsia="Calibri"/>
            <w:b w:val="0"/>
            <w:smallCaps w:val="0"/>
            <w:noProof/>
            <w:webHidden/>
            <w:sz w:val="22"/>
            <w:lang w:eastAsia="en-US"/>
          </w:rPr>
          <w:tab/>
        </w:r>
        <w:r w:rsidR="0068254E" w:rsidRPr="0068254E">
          <w:rPr>
            <w:rFonts w:eastAsia="Calibri"/>
            <w:b w:val="0"/>
            <w:smallCaps w:val="0"/>
            <w:noProof/>
            <w:webHidden/>
            <w:sz w:val="22"/>
            <w:lang w:eastAsia="en-US"/>
          </w:rPr>
          <w:fldChar w:fldCharType="begin"/>
        </w:r>
        <w:r w:rsidR="0068254E" w:rsidRPr="0068254E">
          <w:rPr>
            <w:rFonts w:eastAsia="Calibri"/>
            <w:b w:val="0"/>
            <w:smallCaps w:val="0"/>
            <w:noProof/>
            <w:webHidden/>
            <w:sz w:val="22"/>
            <w:lang w:eastAsia="en-US"/>
          </w:rPr>
          <w:instrText xml:space="preserve"> PAGEREF _Toc229052209 \h </w:instrText>
        </w:r>
        <w:r w:rsidR="0068254E" w:rsidRPr="0068254E">
          <w:rPr>
            <w:rFonts w:eastAsia="Calibri"/>
            <w:b w:val="0"/>
            <w:smallCaps w:val="0"/>
            <w:noProof/>
            <w:webHidden/>
            <w:sz w:val="22"/>
            <w:lang w:eastAsia="en-US"/>
          </w:rPr>
        </w:r>
        <w:r w:rsidR="0068254E" w:rsidRPr="0068254E">
          <w:rPr>
            <w:rFonts w:eastAsia="Calibri"/>
            <w:b w:val="0"/>
            <w:smallCaps w:val="0"/>
            <w:noProof/>
            <w:webHidden/>
            <w:sz w:val="22"/>
            <w:lang w:eastAsia="en-US"/>
          </w:rPr>
          <w:fldChar w:fldCharType="separate"/>
        </w:r>
        <w:r w:rsidR="005D6701">
          <w:rPr>
            <w:rFonts w:eastAsia="Calibri"/>
            <w:b w:val="0"/>
            <w:smallCaps w:val="0"/>
            <w:noProof/>
            <w:webHidden/>
            <w:sz w:val="22"/>
            <w:lang w:eastAsia="en-US"/>
          </w:rPr>
          <w:t>56</w:t>
        </w:r>
        <w:r w:rsidR="0068254E" w:rsidRPr="0068254E">
          <w:rPr>
            <w:rFonts w:eastAsia="Calibri"/>
            <w:b w:val="0"/>
            <w:smallCaps w:val="0"/>
            <w:noProof/>
            <w:webHidden/>
            <w:sz w:val="22"/>
            <w:lang w:eastAsia="en-US"/>
          </w:rPr>
          <w:fldChar w:fldCharType="end"/>
        </w:r>
      </w:hyperlink>
    </w:p>
    <w:p w:rsidR="00773E2C" w:rsidRDefault="00805665" w:rsidP="00B74651">
      <w:pPr>
        <w:pStyle w:val="27"/>
        <w:rPr>
          <w:lang w:eastAsia="en-US"/>
        </w:rPr>
      </w:pPr>
      <w:r w:rsidRPr="00DC124F">
        <w:rPr>
          <w:rFonts w:eastAsia="Calibri"/>
          <w:b w:val="0"/>
          <w:smallCaps w:val="0"/>
          <w:sz w:val="22"/>
          <w:lang w:eastAsia="en-US"/>
        </w:rPr>
        <w:fldChar w:fldCharType="end"/>
      </w:r>
      <w:bookmarkStart w:id="0" w:name="_Toc447100054"/>
      <w:bookmarkStart w:id="1" w:name="_Toc447100051"/>
      <w:bookmarkStart w:id="2" w:name="_Toc447099620"/>
      <w:bookmarkStart w:id="3" w:name="_Toc447099617"/>
      <w:bookmarkStart w:id="4" w:name="_Toc447099619"/>
      <w:bookmarkStart w:id="5" w:name="_Toc447100053"/>
    </w:p>
    <w:p w:rsidR="00773E2C" w:rsidRDefault="00805665">
      <w:pPr>
        <w:rPr>
          <w:rFonts w:eastAsia="Calibri"/>
          <w:sz w:val="22"/>
          <w:szCs w:val="22"/>
          <w:lang w:eastAsia="en-US"/>
        </w:rPr>
      </w:pPr>
      <w:r>
        <w:rPr>
          <w:rFonts w:eastAsia="Calibri"/>
          <w:sz w:val="22"/>
          <w:szCs w:val="22"/>
          <w:lang w:eastAsia="en-US"/>
        </w:rPr>
        <w:br w:type="page"/>
      </w:r>
    </w:p>
    <w:p w:rsidR="00773E2C" w:rsidRDefault="00805665">
      <w:pPr>
        <w:keepNext/>
        <w:ind w:firstLine="567"/>
        <w:outlineLvl w:val="1"/>
        <w:rPr>
          <w:b/>
          <w:bCs/>
          <w:sz w:val="22"/>
          <w:szCs w:val="22"/>
        </w:rPr>
      </w:pPr>
      <w:bookmarkStart w:id="6" w:name="_Toc229052183"/>
      <w:r>
        <w:rPr>
          <w:b/>
          <w:bCs/>
          <w:sz w:val="22"/>
          <w:szCs w:val="22"/>
        </w:rPr>
        <w:lastRenderedPageBreak/>
        <w:t>1. Обращение Председателя Правления</w:t>
      </w:r>
      <w:bookmarkEnd w:id="6"/>
    </w:p>
    <w:p w:rsidR="00773E2C" w:rsidRDefault="00773E2C">
      <w:pPr>
        <w:ind w:firstLine="567"/>
        <w:jc w:val="both"/>
        <w:rPr>
          <w:rFonts w:eastAsia="Calibri"/>
          <w:sz w:val="22"/>
          <w:szCs w:val="22"/>
          <w:lang w:eastAsia="en-US"/>
        </w:rPr>
      </w:pPr>
    </w:p>
    <w:p w:rsidR="00773E2C" w:rsidRDefault="00805665">
      <w:pPr>
        <w:ind w:firstLine="567"/>
        <w:jc w:val="both"/>
        <w:rPr>
          <w:rFonts w:eastAsia="Calibri"/>
          <w:sz w:val="22"/>
          <w:szCs w:val="22"/>
          <w:lang w:eastAsia="en-US"/>
        </w:rPr>
      </w:pPr>
      <w:r>
        <w:rPr>
          <w:rFonts w:eastAsia="Calibri"/>
          <w:sz w:val="22"/>
          <w:szCs w:val="22"/>
          <w:lang w:eastAsia="en-US"/>
        </w:rPr>
        <w:t xml:space="preserve">Уважаемые </w:t>
      </w:r>
      <w:r w:rsidR="004571C8">
        <w:rPr>
          <w:rFonts w:eastAsia="Calibri"/>
          <w:sz w:val="22"/>
          <w:szCs w:val="22"/>
          <w:lang w:eastAsia="en-US"/>
        </w:rPr>
        <w:t xml:space="preserve">акционеры, </w:t>
      </w:r>
      <w:r w:rsidR="002C5BAB">
        <w:rPr>
          <w:rFonts w:eastAsia="Calibri"/>
          <w:sz w:val="22"/>
          <w:szCs w:val="22"/>
          <w:lang w:eastAsia="en-US"/>
        </w:rPr>
        <w:t xml:space="preserve">инвесторы, </w:t>
      </w:r>
      <w:r>
        <w:rPr>
          <w:rFonts w:eastAsia="Calibri"/>
          <w:sz w:val="22"/>
          <w:szCs w:val="22"/>
          <w:lang w:eastAsia="en-US"/>
        </w:rPr>
        <w:t>клиенты и партнеры</w:t>
      </w:r>
      <w:r w:rsidR="00106027">
        <w:rPr>
          <w:rFonts w:eastAsia="Calibri"/>
          <w:sz w:val="22"/>
          <w:szCs w:val="22"/>
          <w:lang w:eastAsia="en-US"/>
        </w:rPr>
        <w:t xml:space="preserve"> ПАО «БАНК УРАЛСИБ</w:t>
      </w:r>
      <w:r w:rsidR="00CE7697">
        <w:rPr>
          <w:rFonts w:eastAsia="Calibri"/>
          <w:sz w:val="22"/>
          <w:szCs w:val="22"/>
          <w:lang w:eastAsia="en-US"/>
        </w:rPr>
        <w:t>»</w:t>
      </w:r>
      <w:r w:rsidR="00DF02B9">
        <w:rPr>
          <w:rFonts w:eastAsia="Calibri"/>
          <w:sz w:val="22"/>
          <w:szCs w:val="22"/>
          <w:lang w:eastAsia="en-US"/>
        </w:rPr>
        <w:t>!</w:t>
      </w:r>
    </w:p>
    <w:p w:rsidR="00DE772B" w:rsidRDefault="00DE772B">
      <w:pPr>
        <w:ind w:firstLine="567"/>
        <w:jc w:val="both"/>
        <w:rPr>
          <w:rFonts w:eastAsia="Calibri"/>
          <w:sz w:val="22"/>
          <w:szCs w:val="22"/>
          <w:lang w:eastAsia="en-US"/>
        </w:rPr>
      </w:pPr>
    </w:p>
    <w:p w:rsidR="00773E2C" w:rsidRDefault="00805665">
      <w:pPr>
        <w:ind w:firstLine="567"/>
        <w:jc w:val="both"/>
        <w:rPr>
          <w:rFonts w:eastAsia="Calibri"/>
          <w:sz w:val="22"/>
          <w:szCs w:val="22"/>
          <w:lang w:eastAsia="en-US"/>
        </w:rPr>
      </w:pPr>
      <w:r>
        <w:rPr>
          <w:rFonts w:eastAsia="Calibri"/>
          <w:sz w:val="22"/>
          <w:szCs w:val="22"/>
          <w:lang w:eastAsia="en-US"/>
        </w:rPr>
        <w:t xml:space="preserve">С гордостью представляем вашему вниманию отчет о деятельности ПАО «БАНК УРАЛСИБ» </w:t>
      </w:r>
      <w:r w:rsidRPr="00904417">
        <w:rPr>
          <w:rFonts w:eastAsia="Calibri"/>
          <w:sz w:val="22"/>
          <w:szCs w:val="22"/>
          <w:lang w:eastAsia="en-US"/>
        </w:rPr>
        <w:t>(далее – Банк)</w:t>
      </w:r>
      <w:r>
        <w:rPr>
          <w:rFonts w:eastAsia="Calibri"/>
          <w:sz w:val="22"/>
          <w:szCs w:val="22"/>
          <w:lang w:eastAsia="en-US"/>
        </w:rPr>
        <w:t xml:space="preserve"> в 2025 году. Для нас прошедший год стал периодом больших достижений, которые нашли выражение в высоких финансовых показателях, повышении кредитных рейтингов, верхних строках </w:t>
      </w:r>
      <w:proofErr w:type="spellStart"/>
      <w:r>
        <w:rPr>
          <w:rFonts w:eastAsia="Calibri"/>
          <w:sz w:val="22"/>
          <w:szCs w:val="22"/>
          <w:lang w:eastAsia="en-US"/>
        </w:rPr>
        <w:t>рэнкингов</w:t>
      </w:r>
      <w:proofErr w:type="spellEnd"/>
      <w:r>
        <w:rPr>
          <w:rFonts w:eastAsia="Calibri"/>
          <w:sz w:val="22"/>
          <w:szCs w:val="22"/>
          <w:lang w:eastAsia="en-US"/>
        </w:rPr>
        <w:t xml:space="preserve"> и отраслевых наградах.</w:t>
      </w:r>
    </w:p>
    <w:p w:rsidR="00773E2C" w:rsidRDefault="00805665">
      <w:pPr>
        <w:ind w:firstLine="567"/>
        <w:jc w:val="both"/>
        <w:rPr>
          <w:rFonts w:eastAsia="Calibri"/>
          <w:sz w:val="22"/>
          <w:szCs w:val="22"/>
          <w:lang w:eastAsia="en-US"/>
        </w:rPr>
      </w:pPr>
      <w:r>
        <w:rPr>
          <w:rFonts w:eastAsia="Calibri"/>
          <w:sz w:val="22"/>
          <w:szCs w:val="22"/>
          <w:lang w:eastAsia="en-US"/>
        </w:rPr>
        <w:t xml:space="preserve">Мы продолжаем последовательно укреплять свои позиции: в 2025 году Банк нарастил кредитный портфель на 7,7%, вошел в десятку крупнейших банков по объему кредитов физическим лицам и занял 11 место в стране по числу офисов и региональному охвату. При этом для нас крайне важно, что рост происходит без принятия избыточного риска. Стабильность и надежность Банка подтверждаются произошедшим в 2025 году повышением кредитных рейтингов от трех крупнейших российских агентств. Капитал Банка вырос на 11,4%, норматив достаточности капитала по итогам года находится на высоком уровне 13,3%. Банк перевыполнил план и завершил год с прибылью </w:t>
      </w:r>
      <w:r>
        <w:rPr>
          <w:sz w:val="22"/>
        </w:rPr>
        <w:t>10</w:t>
      </w:r>
      <w:r>
        <w:rPr>
          <w:rFonts w:eastAsia="Calibri"/>
          <w:sz w:val="22"/>
          <w:szCs w:val="22"/>
          <w:lang w:eastAsia="en-US"/>
        </w:rPr>
        <w:t>,</w:t>
      </w:r>
      <w:r>
        <w:rPr>
          <w:sz w:val="22"/>
        </w:rPr>
        <w:t>9</w:t>
      </w:r>
      <w:r>
        <w:rPr>
          <w:rFonts w:eastAsia="Calibri"/>
          <w:sz w:val="22"/>
          <w:szCs w:val="22"/>
          <w:lang w:eastAsia="en-US"/>
        </w:rPr>
        <w:t xml:space="preserve"> млрд рублей, рентабельность капитала при этом составила </w:t>
      </w:r>
      <w:r>
        <w:rPr>
          <w:sz w:val="22"/>
        </w:rPr>
        <w:t>12</w:t>
      </w:r>
      <w:r>
        <w:rPr>
          <w:rFonts w:eastAsia="Calibri"/>
          <w:sz w:val="22"/>
          <w:szCs w:val="22"/>
          <w:lang w:eastAsia="en-US"/>
        </w:rPr>
        <w:t>,</w:t>
      </w:r>
      <w:r>
        <w:rPr>
          <w:sz w:val="22"/>
        </w:rPr>
        <w:t>19%.</w:t>
      </w:r>
    </w:p>
    <w:p w:rsidR="00773E2C" w:rsidRDefault="00805665">
      <w:pPr>
        <w:ind w:firstLine="567"/>
        <w:jc w:val="both"/>
        <w:rPr>
          <w:rFonts w:eastAsia="Calibri"/>
          <w:sz w:val="22"/>
          <w:szCs w:val="22"/>
          <w:lang w:eastAsia="en-US"/>
        </w:rPr>
      </w:pPr>
      <w:r>
        <w:rPr>
          <w:rFonts w:eastAsia="Calibri"/>
          <w:sz w:val="22"/>
          <w:szCs w:val="22"/>
          <w:lang w:eastAsia="en-US"/>
        </w:rPr>
        <w:t>Мы рады отметить, что наши усилия по совершенствованию продуктовой линейки, оптимизации процессов обслуживания и использованию передовых достижений ИТ нашли отклик и у клиентов, и у экспертного сообщества. За 2025 год возросло число обслуживаемых физических лиц, существенно расширились ключевые портфели, в том числе портфель кредитных карт на 49%, автокредитов – на 44%, классических гарантий – на 35%, а продукты Банка регулярно занимали верхние позиции в рейтингах привлекательности. Приложения «</w:t>
      </w:r>
      <w:proofErr w:type="spellStart"/>
      <w:r>
        <w:rPr>
          <w:rFonts w:eastAsia="Calibri"/>
          <w:sz w:val="22"/>
          <w:szCs w:val="22"/>
          <w:lang w:eastAsia="en-US"/>
        </w:rPr>
        <w:t>Уралсиб</w:t>
      </w:r>
      <w:proofErr w:type="spellEnd"/>
      <w:r>
        <w:rPr>
          <w:rFonts w:eastAsia="Calibri"/>
          <w:sz w:val="22"/>
          <w:szCs w:val="22"/>
          <w:lang w:eastAsia="en-US"/>
        </w:rPr>
        <w:t xml:space="preserve"> Онлайн» и «</w:t>
      </w:r>
      <w:proofErr w:type="spellStart"/>
      <w:r>
        <w:rPr>
          <w:rFonts w:eastAsia="Calibri"/>
          <w:sz w:val="22"/>
          <w:szCs w:val="22"/>
          <w:lang w:eastAsia="en-US"/>
        </w:rPr>
        <w:t>Уралсиб</w:t>
      </w:r>
      <w:proofErr w:type="spellEnd"/>
      <w:r>
        <w:rPr>
          <w:rFonts w:eastAsia="Calibri"/>
          <w:sz w:val="22"/>
          <w:szCs w:val="22"/>
          <w:lang w:eastAsia="en-US"/>
        </w:rPr>
        <w:t xml:space="preserve"> для бизнеса» вошли в топ-10 лучших, а сам Банк – в топ-10 самых инновационных банков России по версии Фонда «</w:t>
      </w:r>
      <w:proofErr w:type="spellStart"/>
      <w:r>
        <w:rPr>
          <w:rFonts w:eastAsia="Calibri"/>
          <w:sz w:val="22"/>
          <w:szCs w:val="22"/>
          <w:lang w:eastAsia="en-US"/>
        </w:rPr>
        <w:t>Сколково</w:t>
      </w:r>
      <w:proofErr w:type="spellEnd"/>
      <w:r>
        <w:rPr>
          <w:rFonts w:eastAsia="Calibri"/>
          <w:sz w:val="22"/>
          <w:szCs w:val="22"/>
          <w:lang w:eastAsia="en-US"/>
        </w:rPr>
        <w:t>».</w:t>
      </w:r>
    </w:p>
    <w:p w:rsidR="00773E2C" w:rsidRDefault="00805665">
      <w:pPr>
        <w:ind w:firstLine="567"/>
        <w:jc w:val="both"/>
        <w:rPr>
          <w:rFonts w:eastAsia="Calibri"/>
          <w:sz w:val="22"/>
          <w:szCs w:val="22"/>
          <w:lang w:eastAsia="en-US"/>
        </w:rPr>
      </w:pPr>
      <w:r>
        <w:rPr>
          <w:rFonts w:eastAsia="Calibri"/>
          <w:sz w:val="22"/>
          <w:szCs w:val="22"/>
          <w:lang w:eastAsia="en-US"/>
        </w:rPr>
        <w:t>Эти результаты подтверждают правильность выбранного курса, и в 2026 году мы продолжим делать то, что так успешно делали весь 2025 год: непрерывно работать над качеством своих продуктов и сервиса, чтобы как можно лучше поддерживать наших клиентов во всех их начинаниях.</w:t>
      </w:r>
    </w:p>
    <w:p w:rsidR="00773E2C" w:rsidRDefault="00773E2C">
      <w:pPr>
        <w:ind w:firstLine="567"/>
        <w:jc w:val="both"/>
        <w:rPr>
          <w:rFonts w:eastAsia="Calibri"/>
          <w:sz w:val="22"/>
          <w:szCs w:val="22"/>
          <w:lang w:eastAsia="en-US"/>
        </w:rPr>
      </w:pPr>
    </w:p>
    <w:p w:rsidR="00773E2C" w:rsidRDefault="00805665">
      <w:pPr>
        <w:keepNext/>
        <w:ind w:firstLine="567"/>
        <w:outlineLvl w:val="1"/>
        <w:rPr>
          <w:b/>
          <w:bCs/>
          <w:sz w:val="22"/>
          <w:szCs w:val="22"/>
        </w:rPr>
      </w:pPr>
      <w:bookmarkStart w:id="7" w:name="_Toc229052184"/>
      <w:r>
        <w:rPr>
          <w:b/>
          <w:bCs/>
          <w:sz w:val="22"/>
          <w:szCs w:val="22"/>
        </w:rPr>
        <w:t>2. Банк и Банковск</w:t>
      </w:r>
      <w:r w:rsidR="003272D1">
        <w:rPr>
          <w:b/>
          <w:bCs/>
          <w:sz w:val="22"/>
          <w:szCs w:val="22"/>
        </w:rPr>
        <w:t>ая</w:t>
      </w:r>
      <w:r>
        <w:rPr>
          <w:b/>
          <w:bCs/>
          <w:sz w:val="22"/>
          <w:szCs w:val="22"/>
        </w:rPr>
        <w:t xml:space="preserve"> групп</w:t>
      </w:r>
      <w:r w:rsidR="003272D1">
        <w:rPr>
          <w:b/>
          <w:bCs/>
          <w:sz w:val="22"/>
          <w:szCs w:val="22"/>
        </w:rPr>
        <w:t>а</w:t>
      </w:r>
      <w:bookmarkEnd w:id="7"/>
    </w:p>
    <w:p w:rsidR="00773E2C" w:rsidRDefault="00773E2C">
      <w:pPr>
        <w:ind w:right="1" w:firstLine="561"/>
        <w:jc w:val="both"/>
        <w:rPr>
          <w:sz w:val="22"/>
          <w:szCs w:val="22"/>
        </w:rPr>
      </w:pPr>
    </w:p>
    <w:p w:rsidR="00773E2C" w:rsidRDefault="00805665">
      <w:pPr>
        <w:ind w:firstLine="567"/>
        <w:jc w:val="both"/>
        <w:rPr>
          <w:rFonts w:eastAsia="Calibri"/>
          <w:sz w:val="22"/>
          <w:szCs w:val="22"/>
          <w:lang w:eastAsia="en-US"/>
        </w:rPr>
      </w:pPr>
      <w:r>
        <w:rPr>
          <w:rFonts w:eastAsia="Calibri"/>
          <w:sz w:val="22"/>
          <w:szCs w:val="22"/>
          <w:lang w:eastAsia="en-US"/>
        </w:rPr>
        <w:t>Полное фирменное наименование Банка: Публичное акционерное общество «БАНК УРАЛСИБ».</w:t>
      </w:r>
    </w:p>
    <w:p w:rsidR="00773E2C" w:rsidRDefault="00805665">
      <w:pPr>
        <w:ind w:firstLine="567"/>
        <w:jc w:val="both"/>
        <w:rPr>
          <w:rFonts w:eastAsia="Calibri"/>
          <w:sz w:val="22"/>
          <w:szCs w:val="22"/>
          <w:lang w:eastAsia="en-US"/>
        </w:rPr>
      </w:pPr>
      <w:r>
        <w:rPr>
          <w:rFonts w:eastAsia="Calibri"/>
          <w:sz w:val="22"/>
          <w:szCs w:val="22"/>
          <w:lang w:eastAsia="en-US"/>
        </w:rPr>
        <w:t>Сокращенное фирменное наименование Банка: ПАО «БАНК УРАЛСИБ».</w:t>
      </w:r>
    </w:p>
    <w:p w:rsidR="00773E2C" w:rsidRDefault="00805665">
      <w:pPr>
        <w:ind w:firstLine="567"/>
        <w:jc w:val="both"/>
        <w:rPr>
          <w:rFonts w:eastAsia="Calibri"/>
          <w:sz w:val="22"/>
          <w:szCs w:val="22"/>
          <w:lang w:eastAsia="en-US"/>
        </w:rPr>
      </w:pPr>
      <w:r>
        <w:rPr>
          <w:rFonts w:eastAsia="Calibri"/>
          <w:sz w:val="22"/>
          <w:szCs w:val="22"/>
          <w:lang w:eastAsia="en-US"/>
        </w:rPr>
        <w:t xml:space="preserve">Полное фирменное наименование Банка на английском языке: </w:t>
      </w:r>
      <w:proofErr w:type="spellStart"/>
      <w:r>
        <w:rPr>
          <w:rFonts w:eastAsia="Calibri"/>
          <w:sz w:val="22"/>
          <w:szCs w:val="22"/>
          <w:lang w:eastAsia="en-US"/>
        </w:rPr>
        <w:t>Public</w:t>
      </w:r>
      <w:proofErr w:type="spellEnd"/>
      <w:r>
        <w:rPr>
          <w:rFonts w:eastAsia="Calibri"/>
          <w:sz w:val="22"/>
          <w:szCs w:val="22"/>
          <w:lang w:eastAsia="en-US"/>
        </w:rPr>
        <w:t xml:space="preserve"> </w:t>
      </w:r>
      <w:proofErr w:type="spellStart"/>
      <w:r>
        <w:rPr>
          <w:rFonts w:eastAsia="Calibri"/>
          <w:sz w:val="22"/>
          <w:szCs w:val="22"/>
          <w:lang w:eastAsia="en-US"/>
        </w:rPr>
        <w:t>joint</w:t>
      </w:r>
      <w:proofErr w:type="spellEnd"/>
      <w:r>
        <w:rPr>
          <w:rFonts w:eastAsia="Calibri"/>
          <w:sz w:val="22"/>
          <w:szCs w:val="22"/>
          <w:lang w:eastAsia="en-US"/>
        </w:rPr>
        <w:t xml:space="preserve"> </w:t>
      </w:r>
      <w:proofErr w:type="spellStart"/>
      <w:r>
        <w:rPr>
          <w:rFonts w:eastAsia="Calibri"/>
          <w:sz w:val="22"/>
          <w:szCs w:val="22"/>
          <w:lang w:eastAsia="en-US"/>
        </w:rPr>
        <w:t>stock</w:t>
      </w:r>
      <w:proofErr w:type="spellEnd"/>
      <w:r>
        <w:rPr>
          <w:rFonts w:eastAsia="Calibri"/>
          <w:sz w:val="22"/>
          <w:szCs w:val="22"/>
          <w:lang w:eastAsia="en-US"/>
        </w:rPr>
        <w:t xml:space="preserve"> </w:t>
      </w:r>
      <w:proofErr w:type="spellStart"/>
      <w:r>
        <w:rPr>
          <w:rFonts w:eastAsia="Calibri"/>
          <w:sz w:val="22"/>
          <w:szCs w:val="22"/>
          <w:lang w:eastAsia="en-US"/>
        </w:rPr>
        <w:t>company</w:t>
      </w:r>
      <w:proofErr w:type="spellEnd"/>
      <w:r>
        <w:rPr>
          <w:rFonts w:eastAsia="Calibri"/>
          <w:sz w:val="22"/>
          <w:szCs w:val="22"/>
          <w:lang w:eastAsia="en-US"/>
        </w:rPr>
        <w:t xml:space="preserve"> «BANK URALSIB».</w:t>
      </w:r>
    </w:p>
    <w:p w:rsidR="00773E2C" w:rsidRDefault="00805665">
      <w:pPr>
        <w:ind w:firstLine="567"/>
        <w:jc w:val="both"/>
        <w:rPr>
          <w:rFonts w:eastAsia="Calibri"/>
          <w:sz w:val="22"/>
          <w:szCs w:val="22"/>
          <w:lang w:eastAsia="en-US"/>
        </w:rPr>
      </w:pPr>
      <w:r>
        <w:rPr>
          <w:rFonts w:eastAsia="Calibri"/>
          <w:sz w:val="22"/>
          <w:szCs w:val="22"/>
          <w:lang w:eastAsia="en-US"/>
        </w:rPr>
        <w:t>Сокращенное фирменное наименование Банка на английском языке: PJSC «BANK URALSIB».</w:t>
      </w:r>
    </w:p>
    <w:p w:rsidR="00773E2C" w:rsidRDefault="00805665">
      <w:pPr>
        <w:ind w:firstLine="567"/>
        <w:jc w:val="both"/>
        <w:rPr>
          <w:rFonts w:eastAsia="Calibri"/>
          <w:sz w:val="22"/>
          <w:szCs w:val="22"/>
          <w:lang w:eastAsia="en-US"/>
        </w:rPr>
      </w:pPr>
      <w:r>
        <w:rPr>
          <w:rFonts w:eastAsia="Calibri"/>
          <w:sz w:val="22"/>
          <w:szCs w:val="22"/>
          <w:lang w:eastAsia="en-US"/>
        </w:rPr>
        <w:t>Место нахождения Банка: Российская Федерация, город Москва.</w:t>
      </w:r>
    </w:p>
    <w:p w:rsidR="00773E2C" w:rsidRDefault="00805665">
      <w:pPr>
        <w:ind w:firstLine="567"/>
        <w:jc w:val="both"/>
        <w:rPr>
          <w:rFonts w:eastAsia="Calibri"/>
          <w:sz w:val="22"/>
          <w:szCs w:val="22"/>
          <w:lang w:eastAsia="en-US"/>
        </w:rPr>
      </w:pPr>
      <w:r>
        <w:rPr>
          <w:rFonts w:eastAsia="Calibri"/>
          <w:sz w:val="22"/>
          <w:szCs w:val="22"/>
          <w:lang w:eastAsia="en-US"/>
        </w:rPr>
        <w:t>Адрес Банка: Российская Федерация, 119048, город Москва, ул. Ефремова, д. 8.</w:t>
      </w:r>
    </w:p>
    <w:p w:rsidR="00773E2C" w:rsidRDefault="00805665">
      <w:pPr>
        <w:ind w:firstLine="567"/>
        <w:jc w:val="both"/>
        <w:rPr>
          <w:rFonts w:eastAsia="Calibri"/>
          <w:sz w:val="22"/>
          <w:szCs w:val="22"/>
          <w:lang w:eastAsia="en-US"/>
        </w:rPr>
      </w:pPr>
      <w:r>
        <w:rPr>
          <w:rFonts w:eastAsia="Calibri"/>
          <w:sz w:val="22"/>
          <w:szCs w:val="22"/>
          <w:lang w:eastAsia="en-US"/>
        </w:rPr>
        <w:t>Банк был образован на основании Указа Президиума Верховного Совета Республики Башкортостан № 6-2/34 от 27 января 1993 года «Об образовании республиканского инвестиционно-кредитного банка «</w:t>
      </w:r>
      <w:proofErr w:type="spellStart"/>
      <w:r>
        <w:rPr>
          <w:rFonts w:eastAsia="Calibri"/>
          <w:sz w:val="22"/>
          <w:szCs w:val="22"/>
          <w:lang w:eastAsia="en-US"/>
        </w:rPr>
        <w:t>Башкредитбанк</w:t>
      </w:r>
      <w:proofErr w:type="spellEnd"/>
      <w:r>
        <w:rPr>
          <w:rFonts w:eastAsia="Calibri"/>
          <w:sz w:val="22"/>
          <w:szCs w:val="22"/>
          <w:lang w:eastAsia="en-US"/>
        </w:rPr>
        <w:t>» с наименованием «Республиканский инвестиционно-кредитный банк «</w:t>
      </w:r>
      <w:proofErr w:type="spellStart"/>
      <w:r>
        <w:rPr>
          <w:rFonts w:eastAsia="Calibri"/>
          <w:sz w:val="22"/>
          <w:szCs w:val="22"/>
          <w:lang w:eastAsia="en-US"/>
        </w:rPr>
        <w:t>Башкредитбанк</w:t>
      </w:r>
      <w:proofErr w:type="spellEnd"/>
      <w:r>
        <w:rPr>
          <w:rFonts w:eastAsia="Calibri"/>
          <w:sz w:val="22"/>
          <w:szCs w:val="22"/>
          <w:lang w:eastAsia="en-US"/>
        </w:rPr>
        <w:t>».</w:t>
      </w:r>
    </w:p>
    <w:p w:rsidR="00773E2C" w:rsidRDefault="00805665">
      <w:pPr>
        <w:ind w:firstLine="567"/>
        <w:jc w:val="both"/>
        <w:rPr>
          <w:rFonts w:eastAsia="Calibri"/>
          <w:sz w:val="22"/>
          <w:szCs w:val="22"/>
          <w:lang w:eastAsia="en-US"/>
        </w:rPr>
      </w:pPr>
      <w:r>
        <w:rPr>
          <w:rFonts w:eastAsia="Calibri"/>
          <w:sz w:val="22"/>
          <w:szCs w:val="22"/>
          <w:lang w:eastAsia="en-US"/>
        </w:rPr>
        <w:t>В соответствии с решением общего собрания учредителей (протокол № 1 от 01 сентября 1998 года) Банк преобразован в открытое акционерное общество с наименованием «Открытое акционерное общество Республиканский инвестиционно-кредитный банк «</w:t>
      </w:r>
      <w:proofErr w:type="spellStart"/>
      <w:r>
        <w:rPr>
          <w:rFonts w:eastAsia="Calibri"/>
          <w:sz w:val="22"/>
          <w:szCs w:val="22"/>
          <w:lang w:eastAsia="en-US"/>
        </w:rPr>
        <w:t>Башкредитбанк</w:t>
      </w:r>
      <w:proofErr w:type="spellEnd"/>
      <w:r>
        <w:rPr>
          <w:rFonts w:eastAsia="Calibri"/>
          <w:sz w:val="22"/>
          <w:szCs w:val="22"/>
          <w:lang w:eastAsia="en-US"/>
        </w:rPr>
        <w:t>» (ОАО РИКБ «</w:t>
      </w:r>
      <w:proofErr w:type="spellStart"/>
      <w:r>
        <w:rPr>
          <w:rFonts w:eastAsia="Calibri"/>
          <w:sz w:val="22"/>
          <w:szCs w:val="22"/>
          <w:lang w:eastAsia="en-US"/>
        </w:rPr>
        <w:t>Башкредитбанк</w:t>
      </w:r>
      <w:proofErr w:type="spellEnd"/>
      <w:r>
        <w:rPr>
          <w:rFonts w:eastAsia="Calibri"/>
          <w:sz w:val="22"/>
          <w:szCs w:val="22"/>
          <w:lang w:eastAsia="en-US"/>
        </w:rPr>
        <w:t>»).</w:t>
      </w:r>
    </w:p>
    <w:p w:rsidR="00773E2C" w:rsidRDefault="00805665">
      <w:pPr>
        <w:ind w:firstLine="567"/>
        <w:jc w:val="both"/>
        <w:rPr>
          <w:rFonts w:eastAsia="Calibri"/>
          <w:sz w:val="22"/>
          <w:szCs w:val="22"/>
          <w:lang w:eastAsia="en-US"/>
        </w:rPr>
      </w:pPr>
      <w:r>
        <w:rPr>
          <w:rFonts w:eastAsia="Calibri"/>
          <w:sz w:val="22"/>
          <w:szCs w:val="22"/>
          <w:lang w:eastAsia="en-US"/>
        </w:rPr>
        <w:t>На основании решения общего собрания акционеров (протокол № 11 от 16 ноября 2001 года) изменены фирменное (полное официальное) наименование Банка на Открытое акционерное общество «Урало-Сибирский Банк» и сокращенное наименование на ОАО «УралСиб».</w:t>
      </w:r>
    </w:p>
    <w:p w:rsidR="00773E2C" w:rsidRDefault="00805665">
      <w:pPr>
        <w:ind w:firstLine="567"/>
        <w:jc w:val="both"/>
        <w:rPr>
          <w:rFonts w:eastAsia="Calibri"/>
          <w:sz w:val="22"/>
          <w:szCs w:val="22"/>
          <w:lang w:eastAsia="en-US"/>
        </w:rPr>
      </w:pPr>
      <w:r>
        <w:rPr>
          <w:rFonts w:eastAsia="Calibri"/>
          <w:sz w:val="22"/>
          <w:szCs w:val="22"/>
          <w:lang w:eastAsia="en-US"/>
        </w:rPr>
        <w:t xml:space="preserve">На основании решения внеочередного общего собрания акционеров Банка (протокол № 19 от 23 ноября 2004 года), а также решений внеочередных общих собраний акционеров Открытого акционерного общества Акционерного коммерческого банка «АВТОБАНК-НИКОЙЛ» (протокол № 02 от 23 ноября 2004 года), коммерческого банка «Брянский Народный Банк» открытое акционерное общество (протокол № 02 от 24 ноября 2004 года), Акционерного банка «Инвестиционно-банковская группа </w:t>
      </w:r>
      <w:proofErr w:type="spellStart"/>
      <w:r>
        <w:rPr>
          <w:rFonts w:eastAsia="Calibri"/>
          <w:sz w:val="22"/>
          <w:szCs w:val="22"/>
          <w:lang w:eastAsia="en-US"/>
        </w:rPr>
        <w:t>НИКойл</w:t>
      </w:r>
      <w:proofErr w:type="spellEnd"/>
      <w:r>
        <w:rPr>
          <w:rFonts w:eastAsia="Calibri"/>
          <w:sz w:val="22"/>
          <w:szCs w:val="22"/>
          <w:lang w:eastAsia="en-US"/>
        </w:rPr>
        <w:t>» (Открытое акционерное общество) (протокол № 02 от 23 ноября 2004 года), Открытого акционерного общества Акционерного коммерческого банка «</w:t>
      </w:r>
      <w:proofErr w:type="spellStart"/>
      <w:r>
        <w:rPr>
          <w:rFonts w:eastAsia="Calibri"/>
          <w:sz w:val="22"/>
          <w:szCs w:val="22"/>
          <w:lang w:eastAsia="en-US"/>
        </w:rPr>
        <w:t>Кузбассугольбанк</w:t>
      </w:r>
      <w:proofErr w:type="spellEnd"/>
      <w:r>
        <w:rPr>
          <w:rFonts w:eastAsia="Calibri"/>
          <w:sz w:val="22"/>
          <w:szCs w:val="22"/>
          <w:lang w:eastAsia="en-US"/>
        </w:rPr>
        <w:t xml:space="preserve">» (протокол № 02 от 23 ноября 2004 года), Банк реорганизован в форме присоединения к нему Открытого акционерного общества Акционерного коммерческого банка «АВТОБАНК-НИКОЙЛ», коммерческого банка «Брянский Народный Банк» открытое акционерное общество, Акционерного </w:t>
      </w:r>
      <w:r>
        <w:rPr>
          <w:rFonts w:eastAsia="Calibri"/>
          <w:sz w:val="22"/>
          <w:szCs w:val="22"/>
          <w:lang w:eastAsia="en-US"/>
        </w:rPr>
        <w:lastRenderedPageBreak/>
        <w:t xml:space="preserve">банка «Инвестиционно-банковская группа </w:t>
      </w:r>
      <w:proofErr w:type="spellStart"/>
      <w:r>
        <w:rPr>
          <w:rFonts w:eastAsia="Calibri"/>
          <w:sz w:val="22"/>
          <w:szCs w:val="22"/>
          <w:lang w:eastAsia="en-US"/>
        </w:rPr>
        <w:t>НИКойл</w:t>
      </w:r>
      <w:proofErr w:type="spellEnd"/>
      <w:r>
        <w:rPr>
          <w:rFonts w:eastAsia="Calibri"/>
          <w:sz w:val="22"/>
          <w:szCs w:val="22"/>
          <w:lang w:eastAsia="en-US"/>
        </w:rPr>
        <w:t>» (Открытое акционерное общество), Открытого акционерного общества Акционерного коммерческого банка «</w:t>
      </w:r>
      <w:proofErr w:type="spellStart"/>
      <w:r>
        <w:rPr>
          <w:rFonts w:eastAsia="Calibri"/>
          <w:sz w:val="22"/>
          <w:szCs w:val="22"/>
          <w:lang w:eastAsia="en-US"/>
        </w:rPr>
        <w:t>Кузбассугольбанк</w:t>
      </w:r>
      <w:proofErr w:type="spellEnd"/>
      <w:r>
        <w:rPr>
          <w:rFonts w:eastAsia="Calibri"/>
          <w:sz w:val="22"/>
          <w:szCs w:val="22"/>
          <w:lang w:eastAsia="en-US"/>
        </w:rPr>
        <w:t>».</w:t>
      </w:r>
    </w:p>
    <w:p w:rsidR="00773E2C" w:rsidRDefault="00805665">
      <w:pPr>
        <w:ind w:firstLine="567"/>
        <w:jc w:val="both"/>
        <w:rPr>
          <w:rFonts w:eastAsia="Calibri"/>
          <w:sz w:val="22"/>
          <w:szCs w:val="22"/>
          <w:lang w:eastAsia="en-US"/>
        </w:rPr>
      </w:pPr>
      <w:r>
        <w:rPr>
          <w:rFonts w:eastAsia="Calibri"/>
          <w:sz w:val="22"/>
          <w:szCs w:val="22"/>
          <w:lang w:eastAsia="en-US"/>
        </w:rPr>
        <w:t xml:space="preserve">В соответствии с решением совместного общего собрания акционеров Открытого акционерного общества «Урало-Сибирский Банк», Открытого акционерного общества Акционерного коммерческого банка «АВТОБАНК-НИКОЙЛ», коммерческого банка «Брянский Народный Банк» открытое акционерное общество, Акционерного банка «Инвестиционно-банковская группа </w:t>
      </w:r>
      <w:proofErr w:type="spellStart"/>
      <w:r>
        <w:rPr>
          <w:rFonts w:eastAsia="Calibri"/>
          <w:sz w:val="22"/>
          <w:szCs w:val="22"/>
          <w:lang w:eastAsia="en-US"/>
        </w:rPr>
        <w:t>НИКойл</w:t>
      </w:r>
      <w:proofErr w:type="spellEnd"/>
      <w:r>
        <w:rPr>
          <w:rFonts w:eastAsia="Calibri"/>
          <w:sz w:val="22"/>
          <w:szCs w:val="22"/>
          <w:lang w:eastAsia="en-US"/>
        </w:rPr>
        <w:t>» (Открытое акционерное общество), Открытого акционерного общества Акционерного коммерческого банка «</w:t>
      </w:r>
      <w:proofErr w:type="spellStart"/>
      <w:r>
        <w:rPr>
          <w:rFonts w:eastAsia="Calibri"/>
          <w:sz w:val="22"/>
          <w:szCs w:val="22"/>
          <w:lang w:eastAsia="en-US"/>
        </w:rPr>
        <w:t>Кузбассугольбанк</w:t>
      </w:r>
      <w:proofErr w:type="spellEnd"/>
      <w:r>
        <w:rPr>
          <w:rFonts w:eastAsia="Calibri"/>
          <w:sz w:val="22"/>
          <w:szCs w:val="22"/>
          <w:lang w:eastAsia="en-US"/>
        </w:rPr>
        <w:t>» (протокол № 01 от 25 апреля 2005 года) изменены фирменное (полное официальное) наименование Банка на Открытое акционерное общество «БАНК УРАЛСИБ» и сокращенное наименование на ОАО «УРАЛСИБ».</w:t>
      </w:r>
    </w:p>
    <w:p w:rsidR="00773E2C" w:rsidRDefault="00805665">
      <w:pPr>
        <w:ind w:firstLine="567"/>
        <w:jc w:val="both"/>
        <w:rPr>
          <w:rFonts w:eastAsia="Calibri"/>
          <w:sz w:val="22"/>
          <w:szCs w:val="22"/>
          <w:lang w:eastAsia="en-US"/>
        </w:rPr>
      </w:pPr>
      <w:r>
        <w:rPr>
          <w:rFonts w:eastAsia="Calibri"/>
          <w:sz w:val="22"/>
          <w:szCs w:val="22"/>
          <w:lang w:eastAsia="en-US"/>
        </w:rPr>
        <w:t>На основании решения внеочередного общего собрания акционеров Банка (протокол № 01 от 29 января 2010 года), а также решений внеочередных общих собраний акционеров Открытого акционерного общества Акционерного коммерческого банка «</w:t>
      </w:r>
      <w:proofErr w:type="spellStart"/>
      <w:r>
        <w:rPr>
          <w:rFonts w:eastAsia="Calibri"/>
          <w:sz w:val="22"/>
          <w:szCs w:val="22"/>
          <w:lang w:eastAsia="en-US"/>
        </w:rPr>
        <w:t>Стройвестбанк</w:t>
      </w:r>
      <w:proofErr w:type="spellEnd"/>
      <w:r>
        <w:rPr>
          <w:rFonts w:eastAsia="Calibri"/>
          <w:sz w:val="22"/>
          <w:szCs w:val="22"/>
          <w:lang w:eastAsia="en-US"/>
        </w:rPr>
        <w:t>» (протокол № 02 от 14 декабря 2009 года), Открытого акционерного общества Акционерного коммерческого банка «УРАЛСИБ-ЮГ БАНК» (протокол № 27 от 14 декабря 2009 года), Банк реорганизован в форме присоединения к нему Открытого акционерного общества Акционерного коммерческого банка «</w:t>
      </w:r>
      <w:proofErr w:type="spellStart"/>
      <w:r>
        <w:rPr>
          <w:rFonts w:eastAsia="Calibri"/>
          <w:sz w:val="22"/>
          <w:szCs w:val="22"/>
          <w:lang w:eastAsia="en-US"/>
        </w:rPr>
        <w:t>Стройвестбанк</w:t>
      </w:r>
      <w:proofErr w:type="spellEnd"/>
      <w:r>
        <w:rPr>
          <w:rFonts w:eastAsia="Calibri"/>
          <w:sz w:val="22"/>
          <w:szCs w:val="22"/>
          <w:lang w:eastAsia="en-US"/>
        </w:rPr>
        <w:t>», Открытого акционерного общества Акционерного коммерческого банка «УРАЛСИБ-ЮГ БАНК».</w:t>
      </w:r>
    </w:p>
    <w:p w:rsidR="00773E2C" w:rsidRDefault="00805665">
      <w:pPr>
        <w:ind w:firstLine="567"/>
        <w:jc w:val="both"/>
        <w:rPr>
          <w:rFonts w:eastAsia="Calibri"/>
          <w:sz w:val="22"/>
          <w:szCs w:val="22"/>
          <w:lang w:eastAsia="en-US"/>
        </w:rPr>
      </w:pPr>
      <w:r>
        <w:rPr>
          <w:rFonts w:eastAsia="Calibri"/>
          <w:sz w:val="22"/>
          <w:szCs w:val="22"/>
          <w:lang w:eastAsia="en-US"/>
        </w:rPr>
        <w:t>В соответствии с решением годового общего собрания акционеров Банка (протокол № 1 от 29 июня 2015 года) полное фирменное наименование Банка изменено на Публичное акционерное общество «БАНК УРАЛСИБ», а сокращенное фирменное наименование изменено на ПАО «БАНК УРАЛСИБ».</w:t>
      </w:r>
    </w:p>
    <w:p w:rsidR="00773E2C" w:rsidRDefault="00805665">
      <w:pPr>
        <w:ind w:firstLine="567"/>
        <w:jc w:val="both"/>
        <w:rPr>
          <w:rFonts w:eastAsia="Calibri"/>
          <w:sz w:val="22"/>
          <w:szCs w:val="22"/>
          <w:lang w:eastAsia="en-US"/>
        </w:rPr>
      </w:pPr>
      <w:r>
        <w:rPr>
          <w:rFonts w:eastAsia="Calibri"/>
          <w:sz w:val="22"/>
          <w:szCs w:val="22"/>
          <w:lang w:eastAsia="en-US"/>
        </w:rPr>
        <w:t>На основании решения внеочередного общего собрания акционеров Банка (протокол № 3 от 02 марта 2017 года), а также решений внеочередных общих собраний акционеров Публичного акционерного общества «Банк Балтийское Финансовое Агентство» (протокол № 1 от 20 января 2017 года), Публичного акционерного общества Башкирский Промышленный Банк (протокол № 42 от 23 января 2017 года), Банк реорганизован в форме присоединения к нему Публичного акционерного общества «Банк Балтийское Финансовое Агентство», Публичного акционерного общества Башкирский Промышленный Банк.</w:t>
      </w:r>
    </w:p>
    <w:p w:rsidR="00773E2C" w:rsidRDefault="00805665">
      <w:pPr>
        <w:ind w:firstLine="567"/>
        <w:jc w:val="both"/>
        <w:rPr>
          <w:sz w:val="22"/>
          <w:szCs w:val="22"/>
        </w:rPr>
      </w:pPr>
      <w:r>
        <w:rPr>
          <w:rFonts w:eastAsia="Calibri"/>
          <w:sz w:val="22"/>
          <w:szCs w:val="22"/>
          <w:lang w:eastAsia="en-US"/>
        </w:rPr>
        <w:t>На основании решения внеочередного Общего собрания акционеров Банка (Протокол № 2 от 24 августа 2021 года), а также решения единственного участника Общества с ограниченной ответственностью «Лизинговая компания УРАЛСИБ» (Решение № 3 от 23 августа 2021 года), Банк реорганизован в форме присоединения к нему Общества с ограниченной ответственностью «Лизинговая компания УРАЛСИБ».</w:t>
      </w:r>
    </w:p>
    <w:p w:rsidR="00773E2C" w:rsidRDefault="00805665">
      <w:pPr>
        <w:ind w:firstLine="539"/>
        <w:jc w:val="both"/>
        <w:rPr>
          <w:sz w:val="22"/>
          <w:szCs w:val="22"/>
        </w:rPr>
      </w:pPr>
      <w:r>
        <w:rPr>
          <w:sz w:val="22"/>
          <w:szCs w:val="22"/>
        </w:rPr>
        <w:t>ПАО «БАНК УРАЛСИБ» имеет генеральную лицензию Банка России на осуществление банковских операций № 30 от 10 сентября 2015 года и входит в число ведущих российских банков, являясь универсальным банком федерального уровня, предоставляющим широкий спектр финансовых продуктов и услуг для частных и корпоративных клиентов в большинстве регионов Российской Федерации.</w:t>
      </w:r>
    </w:p>
    <w:p w:rsidR="00773E2C" w:rsidRDefault="00805665">
      <w:pPr>
        <w:ind w:firstLine="539"/>
        <w:jc w:val="both"/>
        <w:rPr>
          <w:sz w:val="22"/>
          <w:szCs w:val="22"/>
        </w:rPr>
      </w:pPr>
      <w:r>
        <w:rPr>
          <w:sz w:val="22"/>
          <w:szCs w:val="22"/>
        </w:rPr>
        <w:t>Гарантия сохранности вкладов обеспечивается высокой надежностью и устойчивостью Банка, а также его участием в государственной системе страхования вкладов (ПАО «БАНК УРАЛСИБ» включен в реестр банков – участников системы обязательного страхования вкладов 20 января 2005 года под номером 472).</w:t>
      </w:r>
    </w:p>
    <w:p w:rsidR="00773E2C" w:rsidRDefault="00805665">
      <w:pPr>
        <w:ind w:firstLine="539"/>
        <w:jc w:val="both"/>
        <w:rPr>
          <w:sz w:val="22"/>
          <w:szCs w:val="22"/>
        </w:rPr>
      </w:pPr>
      <w:r>
        <w:rPr>
          <w:sz w:val="22"/>
          <w:szCs w:val="22"/>
        </w:rPr>
        <w:t>По состоянию на 01 января 2026 года Банк занимает 19 место по размеру чистых активов и продолжает удерживать значимые позиции в ряде ключевых сегментов рынка банковских услуг.</w:t>
      </w:r>
    </w:p>
    <w:p w:rsidR="00773E2C" w:rsidRDefault="00805665">
      <w:pPr>
        <w:ind w:firstLine="539"/>
        <w:jc w:val="both"/>
        <w:rPr>
          <w:sz w:val="22"/>
          <w:szCs w:val="22"/>
        </w:rPr>
      </w:pPr>
      <w:r>
        <w:rPr>
          <w:sz w:val="22"/>
          <w:szCs w:val="22"/>
        </w:rPr>
        <w:t>По данным banki.ru Банк занимает:</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24 место по чистой прибыли;</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14 место по вкладам населения;</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10 место по кредитам физическим лицам;</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18 место по привлеченным средствам предприятий и организаций;</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18 место по кредитам предприятиям и организациям.</w:t>
      </w:r>
    </w:p>
    <w:p w:rsidR="00773E2C" w:rsidRDefault="00805665">
      <w:pPr>
        <w:ind w:firstLine="539"/>
        <w:jc w:val="both"/>
        <w:rPr>
          <w:sz w:val="22"/>
          <w:szCs w:val="22"/>
        </w:rPr>
      </w:pPr>
      <w:r>
        <w:rPr>
          <w:sz w:val="22"/>
          <w:szCs w:val="22"/>
        </w:rPr>
        <w:t xml:space="preserve">По данным </w:t>
      </w:r>
      <w:proofErr w:type="spellStart"/>
      <w:r>
        <w:rPr>
          <w:sz w:val="22"/>
          <w:szCs w:val="22"/>
        </w:rPr>
        <w:t>Frank</w:t>
      </w:r>
      <w:proofErr w:type="spellEnd"/>
      <w:r>
        <w:rPr>
          <w:sz w:val="22"/>
          <w:szCs w:val="22"/>
        </w:rPr>
        <w:t xml:space="preserve"> RG Банк занимает:</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12 место по портфелю ипотечных кредитов;</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9 место по портфелю автокредитов;</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9 место по портфелю кредитных карт;</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11 место по портфелю кредитов наличными.</w:t>
      </w:r>
    </w:p>
    <w:p w:rsidR="00773E2C" w:rsidRDefault="00805665">
      <w:pPr>
        <w:ind w:firstLine="539"/>
        <w:jc w:val="both"/>
        <w:rPr>
          <w:sz w:val="22"/>
          <w:szCs w:val="22"/>
        </w:rPr>
      </w:pPr>
      <w:r>
        <w:rPr>
          <w:sz w:val="22"/>
          <w:szCs w:val="22"/>
        </w:rPr>
        <w:lastRenderedPageBreak/>
        <w:t>По состоянию на 01.01.2026 года, рейтинговыми агентствами Банку были присвоены следующие рейтинги, представленные в Таблице 2.1.</w:t>
      </w:r>
    </w:p>
    <w:p w:rsidR="00773E2C" w:rsidRDefault="00773E2C">
      <w:pPr>
        <w:ind w:firstLine="539"/>
        <w:jc w:val="both"/>
        <w:rPr>
          <w:sz w:val="22"/>
          <w:szCs w:val="22"/>
        </w:rPr>
      </w:pPr>
    </w:p>
    <w:p w:rsidR="00773E2C" w:rsidRDefault="00805665">
      <w:pPr>
        <w:tabs>
          <w:tab w:val="left" w:pos="1260"/>
        </w:tabs>
        <w:ind w:firstLine="567"/>
        <w:jc w:val="both"/>
        <w:rPr>
          <w:rFonts w:eastAsia="Calibri"/>
          <w:sz w:val="22"/>
          <w:szCs w:val="22"/>
          <w:lang w:eastAsia="en-US"/>
        </w:rPr>
      </w:pPr>
      <w:r>
        <w:rPr>
          <w:rFonts w:eastAsia="Calibri"/>
          <w:b/>
          <w:sz w:val="22"/>
          <w:szCs w:val="22"/>
          <w:lang w:eastAsia="en-US"/>
        </w:rPr>
        <w:t>Таблица 2.1 Рейтинги, присвоенные Банку рейтинговыми агентствами, по состоянию на 01.01.2026 года</w:t>
      </w:r>
    </w:p>
    <w:p w:rsidR="00773E2C" w:rsidRDefault="00773E2C">
      <w:pPr>
        <w:ind w:firstLine="567"/>
        <w:jc w:val="both"/>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111"/>
      </w:tblGrid>
      <w:tr w:rsidR="00773E2C">
        <w:trPr>
          <w:trHeight w:val="227"/>
        </w:trPr>
        <w:tc>
          <w:tcPr>
            <w:tcW w:w="5245" w:type="dxa"/>
            <w:shd w:val="clear" w:color="auto" w:fill="auto"/>
            <w:vAlign w:val="center"/>
          </w:tcPr>
          <w:p w:rsidR="00773E2C" w:rsidRDefault="00805665">
            <w:pPr>
              <w:spacing w:line="288" w:lineRule="auto"/>
              <w:jc w:val="center"/>
              <w:rPr>
                <w:b/>
                <w:sz w:val="20"/>
                <w:szCs w:val="20"/>
              </w:rPr>
            </w:pPr>
            <w:r>
              <w:rPr>
                <w:b/>
                <w:sz w:val="20"/>
                <w:szCs w:val="20"/>
              </w:rPr>
              <w:t>Наименование рейтингового агентства</w:t>
            </w:r>
          </w:p>
        </w:tc>
        <w:tc>
          <w:tcPr>
            <w:tcW w:w="4111" w:type="dxa"/>
            <w:shd w:val="clear" w:color="auto" w:fill="auto"/>
            <w:vAlign w:val="center"/>
          </w:tcPr>
          <w:p w:rsidR="00773E2C" w:rsidRDefault="00805665">
            <w:pPr>
              <w:spacing w:line="288" w:lineRule="auto"/>
              <w:jc w:val="center"/>
              <w:rPr>
                <w:b/>
                <w:sz w:val="20"/>
                <w:szCs w:val="20"/>
              </w:rPr>
            </w:pPr>
            <w:r>
              <w:rPr>
                <w:b/>
                <w:sz w:val="20"/>
                <w:szCs w:val="20"/>
              </w:rPr>
              <w:t>Кредитный рейтинг</w:t>
            </w:r>
          </w:p>
        </w:tc>
      </w:tr>
      <w:tr w:rsidR="00773E2C">
        <w:trPr>
          <w:trHeight w:val="227"/>
        </w:trPr>
        <w:tc>
          <w:tcPr>
            <w:tcW w:w="5245" w:type="dxa"/>
            <w:shd w:val="clear" w:color="auto" w:fill="auto"/>
          </w:tcPr>
          <w:p w:rsidR="00773E2C" w:rsidRDefault="00805665">
            <w:pPr>
              <w:spacing w:line="288" w:lineRule="auto"/>
              <w:rPr>
                <w:sz w:val="20"/>
                <w:szCs w:val="20"/>
              </w:rPr>
            </w:pPr>
            <w:r>
              <w:rPr>
                <w:sz w:val="20"/>
                <w:szCs w:val="20"/>
              </w:rPr>
              <w:t>АКРА</w:t>
            </w:r>
          </w:p>
        </w:tc>
        <w:tc>
          <w:tcPr>
            <w:tcW w:w="4111" w:type="dxa"/>
            <w:shd w:val="clear" w:color="auto" w:fill="auto"/>
          </w:tcPr>
          <w:p w:rsidR="00773E2C" w:rsidRDefault="00805665">
            <w:pPr>
              <w:spacing w:line="288" w:lineRule="auto"/>
              <w:rPr>
                <w:sz w:val="20"/>
                <w:szCs w:val="20"/>
              </w:rPr>
            </w:pPr>
            <w:r>
              <w:rPr>
                <w:sz w:val="20"/>
                <w:szCs w:val="20"/>
              </w:rPr>
              <w:t>A(RU), прогноз стабильный (29.05.2025)</w:t>
            </w:r>
          </w:p>
        </w:tc>
      </w:tr>
      <w:tr w:rsidR="00773E2C">
        <w:trPr>
          <w:trHeight w:val="227"/>
        </w:trPr>
        <w:tc>
          <w:tcPr>
            <w:tcW w:w="5245" w:type="dxa"/>
            <w:shd w:val="clear" w:color="auto" w:fill="auto"/>
          </w:tcPr>
          <w:p w:rsidR="00773E2C" w:rsidRDefault="00805665">
            <w:pPr>
              <w:spacing w:line="288" w:lineRule="auto"/>
              <w:rPr>
                <w:sz w:val="20"/>
                <w:szCs w:val="20"/>
              </w:rPr>
            </w:pPr>
            <w:r>
              <w:rPr>
                <w:sz w:val="20"/>
                <w:szCs w:val="20"/>
              </w:rPr>
              <w:t>ООО «НКР»</w:t>
            </w:r>
          </w:p>
        </w:tc>
        <w:tc>
          <w:tcPr>
            <w:tcW w:w="4111" w:type="dxa"/>
            <w:shd w:val="clear" w:color="auto" w:fill="auto"/>
          </w:tcPr>
          <w:p w:rsidR="00773E2C" w:rsidRDefault="00805665">
            <w:pPr>
              <w:spacing w:line="288" w:lineRule="auto"/>
              <w:rPr>
                <w:sz w:val="20"/>
                <w:szCs w:val="20"/>
              </w:rPr>
            </w:pPr>
            <w:r>
              <w:rPr>
                <w:sz w:val="20"/>
                <w:szCs w:val="20"/>
              </w:rPr>
              <w:t>А+.ru, прогноз стабильный (04.07.2025)</w:t>
            </w:r>
          </w:p>
        </w:tc>
      </w:tr>
      <w:tr w:rsidR="00773E2C">
        <w:trPr>
          <w:trHeight w:val="227"/>
        </w:trPr>
        <w:tc>
          <w:tcPr>
            <w:tcW w:w="5245" w:type="dxa"/>
            <w:shd w:val="clear" w:color="auto" w:fill="auto"/>
          </w:tcPr>
          <w:p w:rsidR="00773E2C" w:rsidRDefault="00805665">
            <w:pPr>
              <w:spacing w:line="288" w:lineRule="auto"/>
              <w:rPr>
                <w:sz w:val="20"/>
                <w:szCs w:val="20"/>
              </w:rPr>
            </w:pPr>
            <w:r>
              <w:rPr>
                <w:sz w:val="20"/>
                <w:szCs w:val="20"/>
              </w:rPr>
              <w:t>Рейтинговое агентство «Эксперт РА»</w:t>
            </w:r>
          </w:p>
        </w:tc>
        <w:tc>
          <w:tcPr>
            <w:tcW w:w="4111" w:type="dxa"/>
            <w:shd w:val="clear" w:color="auto" w:fill="auto"/>
          </w:tcPr>
          <w:p w:rsidR="00773E2C" w:rsidRDefault="00805665">
            <w:pPr>
              <w:spacing w:line="288" w:lineRule="auto"/>
              <w:rPr>
                <w:sz w:val="20"/>
                <w:szCs w:val="20"/>
              </w:rPr>
            </w:pPr>
            <w:proofErr w:type="spellStart"/>
            <w:r>
              <w:rPr>
                <w:sz w:val="20"/>
                <w:szCs w:val="20"/>
              </w:rPr>
              <w:t>ruA</w:t>
            </w:r>
            <w:proofErr w:type="spellEnd"/>
            <w:r>
              <w:rPr>
                <w:sz w:val="20"/>
                <w:szCs w:val="20"/>
              </w:rPr>
              <w:t>, стабильный (29.09.2025)</w:t>
            </w:r>
          </w:p>
        </w:tc>
      </w:tr>
    </w:tbl>
    <w:p w:rsidR="00773E2C" w:rsidRDefault="00773E2C">
      <w:pPr>
        <w:ind w:firstLine="567"/>
        <w:jc w:val="both"/>
        <w:rPr>
          <w:rFonts w:eastAsia="Calibri"/>
          <w:sz w:val="22"/>
          <w:szCs w:val="22"/>
          <w:lang w:eastAsia="en-US"/>
        </w:rPr>
      </w:pPr>
    </w:p>
    <w:p w:rsidR="00773E2C" w:rsidRDefault="00805665">
      <w:pPr>
        <w:ind w:firstLine="567"/>
        <w:jc w:val="both"/>
        <w:rPr>
          <w:rFonts w:eastAsia="Calibri"/>
          <w:sz w:val="22"/>
          <w:szCs w:val="22"/>
          <w:lang w:eastAsia="en-US"/>
        </w:rPr>
      </w:pPr>
      <w:r>
        <w:rPr>
          <w:rFonts w:eastAsia="Calibri"/>
          <w:sz w:val="22"/>
          <w:szCs w:val="22"/>
          <w:lang w:eastAsia="en-US"/>
        </w:rPr>
        <w:t>Основными направлениями деятельности Банка являются розничный, корпоративный и инвестиционно-банковский бизнес.</w:t>
      </w:r>
    </w:p>
    <w:p w:rsidR="00773E2C" w:rsidRDefault="00805665">
      <w:pPr>
        <w:ind w:firstLine="567"/>
        <w:jc w:val="both"/>
        <w:rPr>
          <w:rFonts w:eastAsia="Calibri"/>
          <w:sz w:val="22"/>
          <w:szCs w:val="22"/>
          <w:lang w:eastAsia="en-US"/>
        </w:rPr>
      </w:pPr>
      <w:r>
        <w:rPr>
          <w:rFonts w:eastAsia="Calibri"/>
          <w:sz w:val="22"/>
          <w:szCs w:val="22"/>
          <w:lang w:eastAsia="en-US"/>
        </w:rPr>
        <w:t>Значимыми услугами Банка являются:</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привлечение денежных средств физических и юридических лиц во вклады;</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кредитование юридических и физических лиц;</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открытие и ведение счетов юридических и физических лиц;</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осуществление кассовых и расчетных операций;</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предоставление гарантий;</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осуществление операций с ценными бумагами;</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купля-продажа иностранной валюты в наличной и безналичной формах.</w:t>
      </w:r>
    </w:p>
    <w:p w:rsidR="00773E2C" w:rsidRDefault="00805665">
      <w:pPr>
        <w:ind w:firstLine="567"/>
        <w:jc w:val="both"/>
        <w:rPr>
          <w:rFonts w:eastAsia="Calibri"/>
          <w:sz w:val="22"/>
          <w:szCs w:val="22"/>
          <w:lang w:eastAsia="en-US"/>
        </w:rPr>
      </w:pPr>
      <w:r>
        <w:rPr>
          <w:rFonts w:eastAsia="Calibri"/>
          <w:sz w:val="22"/>
          <w:szCs w:val="22"/>
          <w:lang w:eastAsia="en-US"/>
        </w:rPr>
        <w:t>Интегрированная региональная сеть продаж финансовых продуктов и услуг Банка представлена в 7 федеральных округах и 49 регионах Российской Федерации и по состоянию на 01.01.2026 г. насчитывала:</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6 филиалов;</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lang w:val="en-US"/>
        </w:rPr>
        <w:t>195</w:t>
      </w:r>
      <w:r>
        <w:rPr>
          <w:sz w:val="22"/>
          <w:szCs w:val="22"/>
        </w:rPr>
        <w:t xml:space="preserve"> точек продаж;</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1 271 банкомат.</w:t>
      </w:r>
    </w:p>
    <w:p w:rsidR="00773E2C" w:rsidRDefault="00805665">
      <w:pPr>
        <w:ind w:firstLine="567"/>
        <w:jc w:val="both"/>
        <w:rPr>
          <w:rFonts w:eastAsia="Calibri"/>
          <w:sz w:val="22"/>
          <w:szCs w:val="22"/>
          <w:lang w:eastAsia="en-US"/>
        </w:rPr>
      </w:pPr>
      <w:r>
        <w:rPr>
          <w:rFonts w:eastAsia="Calibri"/>
          <w:sz w:val="22"/>
          <w:szCs w:val="22"/>
          <w:lang w:eastAsia="en-US"/>
        </w:rPr>
        <w:t>Ключевыми факторами конкурентоспособности ПАО «БАНК УРАЛСИБ» являются:</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широкое региональное присутствие и офисная сеть федерального масштаба;</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значимый в масштабах банковской системы объем бизнеса;</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 xml:space="preserve">сильные позиции на рынке </w:t>
      </w:r>
      <w:proofErr w:type="spellStart"/>
      <w:r>
        <w:rPr>
          <w:sz w:val="22"/>
          <w:szCs w:val="22"/>
        </w:rPr>
        <w:t>эквайринговых</w:t>
      </w:r>
      <w:proofErr w:type="spellEnd"/>
      <w:r>
        <w:rPr>
          <w:sz w:val="22"/>
          <w:szCs w:val="22"/>
        </w:rPr>
        <w:t xml:space="preserve"> услуг;</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прочные позиции на российском рынке среди финансовых организаций, оказывающих процессинговые услуги и услуги спонсорской поддержки для банков-партнеров;</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диверсифицированная по отраслям и регионам клиентская база с высокой долей лояльных клиентов;</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инфраструктура, позволяющая предложить клиентам комплексные финансовые решения;</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функционал и удобство интернет-банка, мобильного банка и сайта, отвечающие требованиям рынка;</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диверсифицированная ресурсная база, позволяющая сохранять устойчивость в период неблагоприятной рыночной конъюнктуры;</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интегрированная система управления рисками и внутреннего контроля;</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профессиональная команда с опытом работы в крупнейших банках;</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имидж надежного партнера, восприятие Банка как заметного игрока на локальном рынке в ряде регионов Российской Федерации.</w:t>
      </w:r>
    </w:p>
    <w:p w:rsidR="00773E2C" w:rsidRDefault="00805665">
      <w:pPr>
        <w:ind w:firstLine="567"/>
        <w:jc w:val="both"/>
        <w:rPr>
          <w:rFonts w:eastAsia="Calibri"/>
          <w:sz w:val="22"/>
          <w:szCs w:val="22"/>
          <w:lang w:eastAsia="en-US"/>
        </w:rPr>
      </w:pPr>
      <w:r>
        <w:rPr>
          <w:rFonts w:eastAsia="Calibri"/>
          <w:sz w:val="22"/>
          <w:szCs w:val="22"/>
          <w:lang w:eastAsia="en-US"/>
        </w:rPr>
        <w:t xml:space="preserve">Указанные факторы конкурентоспособности позволяют Банку поддерживать устойчивость и сохранять значимые рыночные позиции, в том числе, в период экономической нестабильности. Деловая репутация и более чем 35-летний опыт работы на рынке, высокая узнаваемость и доверие к бренду позволяют Банку удерживать существующих и привлекать новых клиентов. Деятельность Банка построена на основе концепции </w:t>
      </w:r>
      <w:proofErr w:type="spellStart"/>
      <w:r>
        <w:rPr>
          <w:rFonts w:eastAsia="Calibri"/>
          <w:sz w:val="22"/>
          <w:szCs w:val="22"/>
          <w:lang w:eastAsia="en-US"/>
        </w:rPr>
        <w:t>клиентоориентированной</w:t>
      </w:r>
      <w:proofErr w:type="spellEnd"/>
      <w:r>
        <w:rPr>
          <w:rFonts w:eastAsia="Calibri"/>
          <w:sz w:val="22"/>
          <w:szCs w:val="22"/>
          <w:lang w:eastAsia="en-US"/>
        </w:rPr>
        <w:t xml:space="preserve"> модели бизнеса, что дает возможность предлагать существующим и потенциальным клиентам широкий спектр востребованных услуг на выгодных ценовых условиях через различные каналы облуживания.</w:t>
      </w:r>
    </w:p>
    <w:p w:rsidR="00773E2C" w:rsidRDefault="00805665">
      <w:pPr>
        <w:ind w:firstLine="567"/>
        <w:jc w:val="both"/>
        <w:rPr>
          <w:rFonts w:eastAsia="Calibri"/>
          <w:color w:val="000000" w:themeColor="text1"/>
          <w:sz w:val="22"/>
          <w:szCs w:val="22"/>
          <w:lang w:eastAsia="en-US"/>
        </w:rPr>
      </w:pPr>
      <w:r>
        <w:rPr>
          <w:rFonts w:eastAsia="Calibri"/>
          <w:color w:val="000000" w:themeColor="text1"/>
          <w:sz w:val="22"/>
          <w:szCs w:val="22"/>
          <w:lang w:eastAsia="en-US"/>
        </w:rPr>
        <w:t>Банк является головной кредитной организацией Банковской группы ПАО «БАНК УРАЛСИБ». Помимо Банка в Банковскую группу входят еще четыре организации. Основная деятельность Банковской группы включает в себя банковские операции, операции с ценными бумагами, управление активами и инвестиционную деятельность.</w:t>
      </w:r>
    </w:p>
    <w:p w:rsidR="00773E2C" w:rsidRDefault="00805665">
      <w:pPr>
        <w:tabs>
          <w:tab w:val="left" w:pos="1260"/>
        </w:tabs>
        <w:ind w:firstLine="567"/>
        <w:jc w:val="both"/>
        <w:rPr>
          <w:rFonts w:eastAsia="Calibri"/>
          <w:sz w:val="22"/>
          <w:szCs w:val="22"/>
          <w:lang w:eastAsia="en-US"/>
        </w:rPr>
      </w:pPr>
      <w:r>
        <w:rPr>
          <w:rFonts w:eastAsia="Calibri"/>
          <w:sz w:val="22"/>
          <w:szCs w:val="22"/>
          <w:lang w:eastAsia="en-US"/>
        </w:rPr>
        <w:lastRenderedPageBreak/>
        <w:t>По состоянию на 31 декабря 2025 года у Банка отсутствуют подконтрольные компании, имеющие для него существенное значение.</w:t>
      </w:r>
    </w:p>
    <w:p w:rsidR="00AC4674" w:rsidRDefault="00AC4674" w:rsidP="00AC4674">
      <w:pPr>
        <w:ind w:firstLine="567"/>
        <w:jc w:val="both"/>
        <w:rPr>
          <w:color w:val="000000" w:themeColor="text1"/>
          <w:sz w:val="22"/>
          <w:szCs w:val="22"/>
        </w:rPr>
      </w:pPr>
      <w:r w:rsidRPr="00AC4674">
        <w:rPr>
          <w:color w:val="000000" w:themeColor="text1"/>
          <w:sz w:val="22"/>
          <w:szCs w:val="22"/>
        </w:rPr>
        <w:t>Дополнительную информацию о деятельности Банка можно узнать на сайте Банка в информационно-телекоммуникационной сети «Интернет» (</w:t>
      </w:r>
      <w:hyperlink r:id="rId9" w:history="1">
        <w:r w:rsidRPr="00AC4674">
          <w:rPr>
            <w:color w:val="000000" w:themeColor="text1"/>
            <w:sz w:val="22"/>
            <w:szCs w:val="22"/>
          </w:rPr>
          <w:t>www.uralsib.ru</w:t>
        </w:r>
      </w:hyperlink>
      <w:r w:rsidRPr="00AC4674">
        <w:rPr>
          <w:color w:val="000000" w:themeColor="text1"/>
          <w:sz w:val="22"/>
          <w:szCs w:val="22"/>
        </w:rPr>
        <w:t>).</w:t>
      </w:r>
    </w:p>
    <w:p w:rsidR="00773E2C" w:rsidRDefault="00773E2C">
      <w:pPr>
        <w:tabs>
          <w:tab w:val="left" w:pos="1260"/>
        </w:tabs>
        <w:ind w:firstLine="567"/>
        <w:jc w:val="both"/>
        <w:rPr>
          <w:rFonts w:eastAsia="Calibri"/>
          <w:sz w:val="22"/>
          <w:szCs w:val="22"/>
          <w:lang w:eastAsia="en-US"/>
        </w:rPr>
      </w:pPr>
    </w:p>
    <w:p w:rsidR="00773E2C" w:rsidRDefault="00805665">
      <w:pPr>
        <w:keepNext/>
        <w:ind w:firstLine="567"/>
        <w:jc w:val="both"/>
        <w:outlineLvl w:val="1"/>
        <w:rPr>
          <w:b/>
          <w:bCs/>
          <w:sz w:val="22"/>
          <w:szCs w:val="22"/>
        </w:rPr>
      </w:pPr>
      <w:bookmarkStart w:id="8" w:name="_Toc229052185"/>
      <w:r>
        <w:rPr>
          <w:b/>
          <w:bCs/>
          <w:sz w:val="22"/>
          <w:szCs w:val="22"/>
        </w:rPr>
        <w:t>3.</w:t>
      </w:r>
      <w:r w:rsidR="00B44827">
        <w:rPr>
          <w:b/>
          <w:bCs/>
          <w:sz w:val="22"/>
          <w:szCs w:val="22"/>
        </w:rPr>
        <w:t> </w:t>
      </w:r>
      <w:r>
        <w:rPr>
          <w:b/>
          <w:bCs/>
          <w:sz w:val="22"/>
          <w:szCs w:val="22"/>
        </w:rPr>
        <w:t>Стратегический отчет</w:t>
      </w:r>
      <w:bookmarkEnd w:id="8"/>
    </w:p>
    <w:p w:rsidR="00773E2C" w:rsidRDefault="00773E2C">
      <w:pPr>
        <w:tabs>
          <w:tab w:val="left" w:pos="1260"/>
        </w:tabs>
        <w:ind w:firstLine="567"/>
        <w:jc w:val="both"/>
        <w:rPr>
          <w:rFonts w:eastAsia="Calibri"/>
          <w:sz w:val="22"/>
          <w:szCs w:val="22"/>
          <w:lang w:eastAsia="en-US"/>
        </w:rPr>
      </w:pPr>
    </w:p>
    <w:p w:rsidR="00773E2C" w:rsidRDefault="00805665">
      <w:pPr>
        <w:keepNext/>
        <w:ind w:firstLine="567"/>
        <w:jc w:val="both"/>
        <w:outlineLvl w:val="1"/>
        <w:rPr>
          <w:b/>
          <w:bCs/>
          <w:sz w:val="22"/>
          <w:szCs w:val="22"/>
        </w:rPr>
      </w:pPr>
      <w:bookmarkStart w:id="9" w:name="_Toc229052186"/>
      <w:r>
        <w:rPr>
          <w:b/>
          <w:bCs/>
          <w:sz w:val="22"/>
          <w:szCs w:val="22"/>
        </w:rPr>
        <w:t>3.1</w:t>
      </w:r>
      <w:r w:rsidR="009B7C78">
        <w:rPr>
          <w:b/>
          <w:bCs/>
          <w:sz w:val="22"/>
          <w:szCs w:val="22"/>
        </w:rPr>
        <w:t>.</w:t>
      </w:r>
      <w:r>
        <w:rPr>
          <w:b/>
          <w:bCs/>
          <w:sz w:val="22"/>
          <w:szCs w:val="22"/>
        </w:rPr>
        <w:t> Приоритетные направления деятельности</w:t>
      </w:r>
      <w:bookmarkEnd w:id="9"/>
      <w:r>
        <w:rPr>
          <w:b/>
          <w:bCs/>
          <w:sz w:val="22"/>
          <w:szCs w:val="22"/>
        </w:rPr>
        <w:t xml:space="preserve"> </w:t>
      </w:r>
    </w:p>
    <w:p w:rsidR="00773E2C" w:rsidRDefault="00773E2C">
      <w:pPr>
        <w:tabs>
          <w:tab w:val="left" w:pos="1260"/>
        </w:tabs>
        <w:ind w:firstLine="567"/>
        <w:jc w:val="both"/>
        <w:rPr>
          <w:rFonts w:eastAsia="Calibri"/>
          <w:sz w:val="22"/>
          <w:szCs w:val="22"/>
          <w:lang w:eastAsia="en-US"/>
        </w:rPr>
      </w:pPr>
    </w:p>
    <w:p w:rsidR="00773E2C" w:rsidRDefault="00805665">
      <w:pPr>
        <w:tabs>
          <w:tab w:val="left" w:pos="1260"/>
        </w:tabs>
        <w:ind w:firstLine="567"/>
        <w:jc w:val="both"/>
        <w:rPr>
          <w:rFonts w:eastAsia="Calibri"/>
          <w:sz w:val="22"/>
          <w:szCs w:val="22"/>
          <w:lang w:eastAsia="en-US"/>
        </w:rPr>
      </w:pPr>
      <w:r>
        <w:rPr>
          <w:rFonts w:eastAsia="Calibri"/>
          <w:sz w:val="22"/>
          <w:szCs w:val="22"/>
          <w:lang w:eastAsia="en-US"/>
        </w:rPr>
        <w:t>ПАО «БАНК УРАЛСИБ» как универсальный банк федерального уровня предоставляет широкий спектр финансовых продуктов и услуг для частных и корпоративных клиентов в большинстве регионов Российской Федерации. Ключевыми направлениями деятельности Банка являются розничный, корпоративный и инвестиционно-банковский бизнес.</w:t>
      </w:r>
    </w:p>
    <w:p w:rsidR="00773E2C" w:rsidRDefault="00805665">
      <w:pPr>
        <w:tabs>
          <w:tab w:val="left" w:pos="1260"/>
        </w:tabs>
        <w:ind w:firstLine="567"/>
        <w:jc w:val="both"/>
        <w:rPr>
          <w:rFonts w:eastAsia="Calibri"/>
          <w:sz w:val="22"/>
          <w:szCs w:val="22"/>
          <w:lang w:eastAsia="en-US"/>
        </w:rPr>
      </w:pPr>
      <w:r>
        <w:rPr>
          <w:rFonts w:eastAsia="Calibri"/>
          <w:sz w:val="22"/>
          <w:szCs w:val="22"/>
          <w:lang w:eastAsia="en-US"/>
        </w:rPr>
        <w:t>Основная деятельность Банка включает в себя привлечение денежных средств физических и юридических лиц во вклады, открытие и ведение счетов юридических и физических лиц, осуществление кассовых и расчетных операций, кредитование юридических и физических лиц, предоставление гарантий, осуществление операций с драгоценными металлами, с ценными бумагами, а также куплю-продажу иностранной валюты в наличной и безналичной формах.</w:t>
      </w:r>
    </w:p>
    <w:p w:rsidR="00773E2C" w:rsidRDefault="00805665">
      <w:pPr>
        <w:tabs>
          <w:tab w:val="left" w:pos="1260"/>
        </w:tabs>
        <w:ind w:firstLine="567"/>
        <w:jc w:val="both"/>
        <w:rPr>
          <w:rFonts w:eastAsia="Calibri"/>
          <w:sz w:val="22"/>
          <w:szCs w:val="22"/>
          <w:lang w:eastAsia="en-US"/>
        </w:rPr>
      </w:pPr>
      <w:r>
        <w:rPr>
          <w:rFonts w:eastAsia="Calibri"/>
          <w:sz w:val="22"/>
          <w:szCs w:val="22"/>
          <w:lang w:eastAsia="en-US"/>
        </w:rPr>
        <w:t>Развитие Банка и выбор приоритетных направлений его деятельности в 2025 году происходили в соответствии со стратегией, утвержденной Наблюдательным советом Банка на 2024-2026 годы. В соответствии с этой стратегией, основной задачей Банка является обеспечение доходности на располагаемый капитал при умеренном принятии рисков и повышении операционной эффективности.</w:t>
      </w:r>
    </w:p>
    <w:p w:rsidR="00773E2C" w:rsidRDefault="00805665">
      <w:pPr>
        <w:tabs>
          <w:tab w:val="left" w:pos="1260"/>
        </w:tabs>
        <w:ind w:firstLine="567"/>
        <w:jc w:val="both"/>
        <w:rPr>
          <w:rFonts w:eastAsia="Calibri"/>
          <w:sz w:val="22"/>
          <w:szCs w:val="22"/>
          <w:lang w:eastAsia="en-US"/>
        </w:rPr>
      </w:pPr>
      <w:r>
        <w:rPr>
          <w:rFonts w:eastAsia="Calibri"/>
          <w:sz w:val="22"/>
          <w:szCs w:val="22"/>
          <w:lang w:eastAsia="en-US"/>
        </w:rPr>
        <w:t>Для каждого направления деятельности стратегией предусмотрен перечень задач и проектов, реализация которых способствовала достижению стратегических целей.</w:t>
      </w:r>
    </w:p>
    <w:p w:rsidR="00773E2C" w:rsidRDefault="00805665">
      <w:pPr>
        <w:tabs>
          <w:tab w:val="left" w:pos="1260"/>
        </w:tabs>
        <w:ind w:firstLine="567"/>
        <w:jc w:val="both"/>
        <w:rPr>
          <w:rFonts w:eastAsia="Calibri"/>
          <w:sz w:val="22"/>
          <w:szCs w:val="22"/>
          <w:lang w:eastAsia="en-US"/>
        </w:rPr>
      </w:pPr>
      <w:r>
        <w:rPr>
          <w:rFonts w:eastAsia="Calibri"/>
          <w:sz w:val="22"/>
          <w:szCs w:val="22"/>
          <w:lang w:eastAsia="en-US"/>
        </w:rPr>
        <w:t>В розничном бизнесе приоритетом является рациональное потребление капитала и оптимизация продуктов, процессов и риск-подходов для снижения риск-надбавок к новым кредитным выдачам. База доступных для кросс-продаж клиентов расширяется, чтобы среди них могли быть выбраны наиболее перспективные с точки зрения соотношения риска и доходности заемщики.</w:t>
      </w:r>
    </w:p>
    <w:p w:rsidR="00773E2C" w:rsidRDefault="00805665">
      <w:pPr>
        <w:tabs>
          <w:tab w:val="left" w:pos="1260"/>
        </w:tabs>
        <w:ind w:firstLine="567"/>
        <w:jc w:val="both"/>
        <w:rPr>
          <w:rFonts w:eastAsia="Calibri"/>
          <w:sz w:val="22"/>
          <w:szCs w:val="22"/>
          <w:lang w:eastAsia="en-US"/>
        </w:rPr>
      </w:pPr>
      <w:r>
        <w:rPr>
          <w:rFonts w:eastAsia="Calibri"/>
          <w:sz w:val="22"/>
          <w:szCs w:val="22"/>
          <w:lang w:eastAsia="en-US"/>
        </w:rPr>
        <w:t>В малом бизнесе Банк также стремится к привлечению клиентов, но в этом случае клиентская база рассматривается как необходимое условие для дальнейшего наращивания объемов пассивов с низкой стоимостью и увеличения комиссионного дохода. Продуктовая линейка совершенствуется для повышения транзакционной активности клиентов.</w:t>
      </w:r>
    </w:p>
    <w:p w:rsidR="00773E2C" w:rsidRDefault="00805665">
      <w:pPr>
        <w:tabs>
          <w:tab w:val="left" w:pos="1260"/>
        </w:tabs>
        <w:ind w:firstLine="567"/>
        <w:jc w:val="both"/>
        <w:rPr>
          <w:rFonts w:eastAsia="Calibri"/>
          <w:sz w:val="22"/>
          <w:szCs w:val="22"/>
          <w:lang w:eastAsia="en-US"/>
        </w:rPr>
      </w:pPr>
      <w:r>
        <w:rPr>
          <w:rFonts w:eastAsia="Calibri"/>
          <w:sz w:val="22"/>
          <w:szCs w:val="22"/>
          <w:lang w:eastAsia="en-US"/>
        </w:rPr>
        <w:t>В корпоративном бизнесе ключевая задача – увеличение доли клиентов, для которых Банк является основным обслуживающим банком. Приоритетом кредитования является увеличение числа заемщиков при одновременном снижении среднего размера их задолженности. Пассивные портфели рассматриваются в первую очередь как источник ликвидности и комиссионного дохода. Гарантийные продукты обеспечивают высокую доходность при низком потреблении капитала. Продуктовая линейка и процессы привлечения и обслуживания перестраиваются в связи с выделением среднего бизнеса в отдельную бизнес-единицу.</w:t>
      </w:r>
    </w:p>
    <w:p w:rsidR="00773E2C" w:rsidRDefault="00805665">
      <w:pPr>
        <w:tabs>
          <w:tab w:val="left" w:pos="1260"/>
        </w:tabs>
        <w:ind w:firstLine="567"/>
        <w:jc w:val="both"/>
        <w:rPr>
          <w:rFonts w:eastAsia="Calibri"/>
          <w:sz w:val="22"/>
          <w:szCs w:val="22"/>
          <w:lang w:eastAsia="en-US"/>
        </w:rPr>
      </w:pPr>
      <w:r>
        <w:rPr>
          <w:rFonts w:eastAsia="Calibri"/>
          <w:sz w:val="22"/>
          <w:szCs w:val="22"/>
          <w:lang w:eastAsia="en-US"/>
        </w:rPr>
        <w:t>В инвестиционно-банковском бизнесе главными задачами являются повышение комиссионного клиентского дохода, расширение взаимодействия с государственным сектором и развитие партнерских продаж.</w:t>
      </w:r>
    </w:p>
    <w:p w:rsidR="00773E2C" w:rsidRDefault="00773E2C">
      <w:pPr>
        <w:tabs>
          <w:tab w:val="left" w:pos="1260"/>
        </w:tabs>
        <w:ind w:firstLine="567"/>
        <w:jc w:val="both"/>
        <w:rPr>
          <w:rFonts w:eastAsia="Calibri"/>
          <w:sz w:val="22"/>
          <w:szCs w:val="22"/>
          <w:lang w:eastAsia="en-US"/>
        </w:rPr>
      </w:pPr>
    </w:p>
    <w:p w:rsidR="00773E2C" w:rsidRDefault="00805665">
      <w:pPr>
        <w:keepNext/>
        <w:ind w:firstLine="567"/>
        <w:jc w:val="both"/>
        <w:outlineLvl w:val="1"/>
        <w:rPr>
          <w:b/>
          <w:bCs/>
          <w:color w:val="000000" w:themeColor="text1"/>
          <w:sz w:val="22"/>
          <w:szCs w:val="22"/>
        </w:rPr>
      </w:pPr>
      <w:bookmarkStart w:id="10" w:name="_Toc229052187"/>
      <w:r>
        <w:rPr>
          <w:b/>
          <w:bCs/>
          <w:color w:val="000000" w:themeColor="text1"/>
          <w:sz w:val="22"/>
          <w:szCs w:val="22"/>
        </w:rPr>
        <w:t>3.2</w:t>
      </w:r>
      <w:r w:rsidR="009B7C78">
        <w:rPr>
          <w:b/>
          <w:bCs/>
          <w:color w:val="000000" w:themeColor="text1"/>
          <w:sz w:val="22"/>
          <w:szCs w:val="22"/>
        </w:rPr>
        <w:t>.</w:t>
      </w:r>
      <w:r>
        <w:rPr>
          <w:b/>
          <w:bCs/>
          <w:color w:val="000000" w:themeColor="text1"/>
          <w:sz w:val="22"/>
          <w:szCs w:val="22"/>
        </w:rPr>
        <w:t> Отчет о результатах деятельности</w:t>
      </w:r>
      <w:bookmarkEnd w:id="10"/>
    </w:p>
    <w:p w:rsidR="00773E2C" w:rsidRDefault="00773E2C">
      <w:pPr>
        <w:tabs>
          <w:tab w:val="left" w:pos="1260"/>
        </w:tabs>
        <w:ind w:firstLine="567"/>
        <w:jc w:val="both"/>
        <w:rPr>
          <w:rFonts w:eastAsia="Calibri"/>
          <w:sz w:val="22"/>
          <w:szCs w:val="22"/>
          <w:lang w:eastAsia="en-US"/>
        </w:rPr>
      </w:pPr>
    </w:p>
    <w:p w:rsidR="00773E2C" w:rsidRDefault="00805665">
      <w:pPr>
        <w:tabs>
          <w:tab w:val="left" w:pos="1260"/>
        </w:tabs>
        <w:ind w:firstLine="567"/>
        <w:jc w:val="both"/>
        <w:rPr>
          <w:rFonts w:eastAsia="Calibri"/>
          <w:sz w:val="22"/>
          <w:szCs w:val="22"/>
          <w:lang w:eastAsia="en-US"/>
        </w:rPr>
      </w:pPr>
      <w:r>
        <w:rPr>
          <w:rFonts w:eastAsia="Calibri"/>
          <w:sz w:val="22"/>
          <w:szCs w:val="22"/>
          <w:lang w:eastAsia="en-US"/>
        </w:rPr>
        <w:t>В отчетном периоде стабильные успешные результаты деятельности Банка нашли свое отражение не только в финансовых показателях, но и в оценках экспертов. В 2025 году сразу три рейтинговых агентства повысили кредитный рейтинг Банка: АКРА – до А.</w:t>
      </w:r>
      <w:proofErr w:type="spellStart"/>
      <w:r>
        <w:rPr>
          <w:rFonts w:eastAsia="Calibri"/>
          <w:sz w:val="22"/>
          <w:szCs w:val="22"/>
          <w:lang w:val="en-US" w:eastAsia="en-US"/>
        </w:rPr>
        <w:t>ru</w:t>
      </w:r>
      <w:proofErr w:type="spellEnd"/>
      <w:r>
        <w:rPr>
          <w:rFonts w:eastAsia="Calibri"/>
          <w:sz w:val="22"/>
          <w:szCs w:val="22"/>
          <w:lang w:eastAsia="en-US"/>
        </w:rPr>
        <w:t xml:space="preserve">, НКР – до A+.ru, «Эксперт РА» – до </w:t>
      </w:r>
      <w:proofErr w:type="spellStart"/>
      <w:r>
        <w:rPr>
          <w:rFonts w:eastAsia="Calibri"/>
          <w:sz w:val="22"/>
          <w:szCs w:val="22"/>
          <w:lang w:eastAsia="en-US"/>
        </w:rPr>
        <w:t>ruА</w:t>
      </w:r>
      <w:proofErr w:type="spellEnd"/>
      <w:r>
        <w:rPr>
          <w:rFonts w:eastAsia="Calibri"/>
          <w:sz w:val="22"/>
          <w:szCs w:val="22"/>
          <w:lang w:eastAsia="en-US"/>
        </w:rPr>
        <w:t>, во всех трех случаях прогноз стабильный.</w:t>
      </w:r>
    </w:p>
    <w:p w:rsidR="00773E2C" w:rsidRDefault="00805665">
      <w:pPr>
        <w:tabs>
          <w:tab w:val="left" w:pos="1260"/>
        </w:tabs>
        <w:ind w:firstLine="567"/>
        <w:jc w:val="both"/>
        <w:rPr>
          <w:rFonts w:eastAsia="Calibri"/>
          <w:sz w:val="22"/>
          <w:szCs w:val="22"/>
          <w:lang w:eastAsia="en-US"/>
        </w:rPr>
      </w:pPr>
      <w:r>
        <w:rPr>
          <w:rFonts w:eastAsia="Calibri"/>
          <w:sz w:val="22"/>
          <w:szCs w:val="22"/>
          <w:lang w:eastAsia="en-US"/>
        </w:rPr>
        <w:t>В розничном секторе продолжился рост портфеля кредитных карт, который увеличился на 49%, достигнув объема в 3</w:t>
      </w:r>
      <w:r w:rsidR="00792DF9">
        <w:rPr>
          <w:rFonts w:eastAsia="Calibri"/>
          <w:sz w:val="22"/>
          <w:szCs w:val="22"/>
          <w:lang w:eastAsia="en-US"/>
        </w:rPr>
        <w:t>6,</w:t>
      </w:r>
      <w:r>
        <w:rPr>
          <w:rFonts w:eastAsia="Calibri"/>
          <w:sz w:val="22"/>
          <w:szCs w:val="22"/>
          <w:lang w:eastAsia="en-US"/>
        </w:rPr>
        <w:t>3 млрд руб. Банк стал значимым игроком на рынке POS-кредитов, выдав за отчетный год 99,9 тыс. кредитов этой категории и заняв 7-е место по объемам привлечения. Достигнут крупный успех в сегменте автокредитования: объем портфеля вырос на 44% и достиг 8</w:t>
      </w:r>
      <w:r w:rsidR="00792DF9">
        <w:rPr>
          <w:rFonts w:eastAsia="Calibri"/>
          <w:sz w:val="22"/>
          <w:szCs w:val="22"/>
          <w:lang w:eastAsia="en-US"/>
        </w:rPr>
        <w:t>2,</w:t>
      </w:r>
      <w:r>
        <w:rPr>
          <w:rFonts w:eastAsia="Calibri"/>
          <w:sz w:val="22"/>
          <w:szCs w:val="22"/>
          <w:lang w:eastAsia="en-US"/>
        </w:rPr>
        <w:t>1 млрд руб. Портфель ипотеки также продемонстрировал положительную динамику и увеличился на 13,4%, до 157</w:t>
      </w:r>
      <w:r w:rsidR="00792DF9">
        <w:rPr>
          <w:rFonts w:eastAsia="Calibri"/>
          <w:sz w:val="22"/>
          <w:szCs w:val="22"/>
          <w:lang w:eastAsia="en-US"/>
        </w:rPr>
        <w:t>,9</w:t>
      </w:r>
      <w:r>
        <w:rPr>
          <w:rFonts w:eastAsia="Calibri"/>
          <w:sz w:val="22"/>
          <w:szCs w:val="22"/>
          <w:lang w:eastAsia="en-US"/>
        </w:rPr>
        <w:t xml:space="preserve"> млрд руб.</w:t>
      </w:r>
    </w:p>
    <w:p w:rsidR="00773E2C" w:rsidRDefault="00805665">
      <w:pPr>
        <w:tabs>
          <w:tab w:val="left" w:pos="1260"/>
        </w:tabs>
        <w:ind w:firstLine="567"/>
        <w:jc w:val="both"/>
        <w:rPr>
          <w:rFonts w:eastAsia="Calibri"/>
          <w:sz w:val="22"/>
          <w:szCs w:val="22"/>
          <w:lang w:eastAsia="en-US"/>
        </w:rPr>
      </w:pPr>
      <w:r>
        <w:rPr>
          <w:rFonts w:eastAsia="Calibri"/>
          <w:sz w:val="22"/>
          <w:szCs w:val="22"/>
          <w:lang w:eastAsia="en-US"/>
        </w:rPr>
        <w:t xml:space="preserve">В сегменте обслуживания предпринимателей и юридических лиц Банк обеспечил рост ключевых клиентских портфелей. Рисковый портфель за год увеличился на 6% и достиг 266 млрд руб. в основном за счет значительного роста объемов документарного бизнеса (портфель классических гарантий вырос </w:t>
      </w:r>
      <w:r>
        <w:rPr>
          <w:rFonts w:eastAsia="Calibri"/>
          <w:sz w:val="22"/>
          <w:szCs w:val="22"/>
          <w:lang w:eastAsia="en-US"/>
        </w:rPr>
        <w:lastRenderedPageBreak/>
        <w:t>на 35%, с 55 до 74 млрд руб., портфель экспресс-гарантий увеличился на 19% – с 61 до 72 млрд руб.). Объем средств клиентов в Банке вырос на 3% и составил 294 млрд руб.</w:t>
      </w:r>
    </w:p>
    <w:p w:rsidR="00773E2C" w:rsidRDefault="00805665">
      <w:pPr>
        <w:tabs>
          <w:tab w:val="left" w:pos="1260"/>
        </w:tabs>
        <w:ind w:firstLine="567"/>
        <w:jc w:val="both"/>
        <w:rPr>
          <w:rFonts w:eastAsia="Calibri"/>
          <w:sz w:val="22"/>
          <w:szCs w:val="22"/>
          <w:lang w:eastAsia="en-US"/>
        </w:rPr>
      </w:pPr>
      <w:r>
        <w:rPr>
          <w:rFonts w:eastAsia="Calibri"/>
          <w:sz w:val="22"/>
          <w:szCs w:val="22"/>
          <w:lang w:eastAsia="en-US"/>
        </w:rPr>
        <w:t xml:space="preserve">Продукты Банка в течение года неоднократно занимали </w:t>
      </w:r>
      <w:r w:rsidR="00C45949">
        <w:rPr>
          <w:rFonts w:eastAsia="Calibri"/>
          <w:sz w:val="22"/>
          <w:szCs w:val="22"/>
          <w:lang w:eastAsia="en-US"/>
        </w:rPr>
        <w:t xml:space="preserve">первые </w:t>
      </w:r>
      <w:r>
        <w:rPr>
          <w:rFonts w:eastAsia="Calibri"/>
          <w:sz w:val="22"/>
          <w:szCs w:val="22"/>
          <w:lang w:eastAsia="en-US"/>
        </w:rPr>
        <w:t xml:space="preserve">строчки в рейтингах привлекательности, а также были удостоены наград: карта «Прибыль» получила премию </w:t>
      </w:r>
      <w:r>
        <w:rPr>
          <w:rFonts w:eastAsia="Calibri"/>
          <w:sz w:val="22"/>
          <w:szCs w:val="22"/>
          <w:lang w:val="en-US" w:eastAsia="en-US"/>
        </w:rPr>
        <w:t>Retail</w:t>
      </w:r>
      <w:r>
        <w:rPr>
          <w:rFonts w:eastAsia="Calibri"/>
          <w:sz w:val="22"/>
          <w:szCs w:val="22"/>
          <w:lang w:eastAsia="en-US"/>
        </w:rPr>
        <w:t xml:space="preserve"> </w:t>
      </w:r>
      <w:r>
        <w:rPr>
          <w:rFonts w:eastAsia="Calibri"/>
          <w:sz w:val="22"/>
          <w:szCs w:val="22"/>
          <w:lang w:val="en-US" w:eastAsia="en-US"/>
        </w:rPr>
        <w:t>Finance</w:t>
      </w:r>
      <w:r>
        <w:rPr>
          <w:rFonts w:eastAsia="Calibri"/>
          <w:sz w:val="22"/>
          <w:szCs w:val="22"/>
          <w:lang w:eastAsia="en-US"/>
        </w:rPr>
        <w:t xml:space="preserve"> </w:t>
      </w:r>
      <w:r>
        <w:rPr>
          <w:rFonts w:eastAsia="Calibri"/>
          <w:sz w:val="22"/>
          <w:szCs w:val="22"/>
          <w:lang w:val="en-US" w:eastAsia="en-US"/>
        </w:rPr>
        <w:t>Awards</w:t>
      </w:r>
      <w:r>
        <w:rPr>
          <w:rFonts w:eastAsia="Calibri"/>
          <w:sz w:val="22"/>
          <w:szCs w:val="22"/>
          <w:lang w:eastAsia="en-US"/>
        </w:rPr>
        <w:t xml:space="preserve"> 2025, а кредитная карта «120 дней на максимум» – награду </w:t>
      </w:r>
      <w:r>
        <w:rPr>
          <w:rFonts w:eastAsia="Calibri"/>
          <w:sz w:val="22"/>
          <w:szCs w:val="22"/>
          <w:lang w:val="en-US" w:eastAsia="en-US"/>
        </w:rPr>
        <w:t>CX</w:t>
      </w:r>
      <w:r>
        <w:rPr>
          <w:rFonts w:eastAsia="Calibri"/>
          <w:sz w:val="22"/>
          <w:szCs w:val="22"/>
          <w:lang w:eastAsia="en-US"/>
        </w:rPr>
        <w:t xml:space="preserve"> </w:t>
      </w:r>
      <w:r>
        <w:rPr>
          <w:rFonts w:eastAsia="Calibri"/>
          <w:sz w:val="22"/>
          <w:szCs w:val="22"/>
          <w:lang w:val="en-US" w:eastAsia="en-US"/>
        </w:rPr>
        <w:t>Award</w:t>
      </w:r>
      <w:r>
        <w:rPr>
          <w:rFonts w:eastAsia="Calibri"/>
          <w:sz w:val="22"/>
          <w:szCs w:val="22"/>
          <w:lang w:eastAsia="en-US"/>
        </w:rPr>
        <w:t xml:space="preserve"> за высокое качество клиентского сервиса и продуманный пользовательский опыт. Передовые продуктовые и технологические решения принесли Банку награду «Лидер инноваций на рынке драгоценных металлов», а банковские-экспресс гарантии победили в номинации «Лучший продукт с </w:t>
      </w:r>
      <w:proofErr w:type="spellStart"/>
      <w:r>
        <w:rPr>
          <w:rFonts w:eastAsia="Calibri"/>
          <w:sz w:val="22"/>
          <w:szCs w:val="22"/>
          <w:lang w:eastAsia="en-US"/>
        </w:rPr>
        <w:t>автоодобрением</w:t>
      </w:r>
      <w:proofErr w:type="spellEnd"/>
      <w:r>
        <w:rPr>
          <w:rFonts w:eastAsia="Calibri"/>
          <w:sz w:val="22"/>
          <w:szCs w:val="22"/>
          <w:lang w:eastAsia="en-US"/>
        </w:rPr>
        <w:t xml:space="preserve"> для МСБ в сегменте до 3 млн рублей» на ежегодной премии «Банки года».</w:t>
      </w:r>
    </w:p>
    <w:p w:rsidR="00773E2C" w:rsidRDefault="00805665">
      <w:pPr>
        <w:tabs>
          <w:tab w:val="left" w:pos="1260"/>
        </w:tabs>
        <w:ind w:firstLine="567"/>
        <w:jc w:val="both"/>
        <w:rPr>
          <w:rFonts w:eastAsia="Calibri"/>
          <w:sz w:val="22"/>
          <w:szCs w:val="22"/>
          <w:lang w:eastAsia="en-US"/>
        </w:rPr>
      </w:pPr>
      <w:r>
        <w:rPr>
          <w:rFonts w:eastAsia="Calibri"/>
          <w:sz w:val="22"/>
          <w:szCs w:val="22"/>
          <w:lang w:eastAsia="en-US"/>
        </w:rPr>
        <w:t xml:space="preserve">Профессиональное сообщество отметило высокое качество сервиса, предоставляемого клиентам Банка: </w:t>
      </w:r>
      <w:proofErr w:type="gramStart"/>
      <w:r>
        <w:rPr>
          <w:rFonts w:eastAsia="Calibri"/>
          <w:sz w:val="22"/>
          <w:szCs w:val="22"/>
          <w:lang w:eastAsia="en-US"/>
        </w:rPr>
        <w:t>коллектив Банка</w:t>
      </w:r>
      <w:proofErr w:type="gramEnd"/>
      <w:r>
        <w:rPr>
          <w:rFonts w:eastAsia="Calibri"/>
          <w:sz w:val="22"/>
          <w:szCs w:val="22"/>
          <w:lang w:eastAsia="en-US"/>
        </w:rPr>
        <w:t xml:space="preserve"> удостоился награды «Хрустальная гарнитура» в номинациях «Лучшая команда по обслуживанию клиентов» и «Лучшая команда продаж». «</w:t>
      </w:r>
      <w:proofErr w:type="spellStart"/>
      <w:r>
        <w:rPr>
          <w:rFonts w:eastAsia="Calibri"/>
          <w:sz w:val="22"/>
          <w:szCs w:val="22"/>
          <w:lang w:eastAsia="en-US"/>
        </w:rPr>
        <w:t>Уралсиб</w:t>
      </w:r>
      <w:proofErr w:type="spellEnd"/>
      <w:r>
        <w:rPr>
          <w:rFonts w:eastAsia="Calibri"/>
          <w:sz w:val="22"/>
          <w:szCs w:val="22"/>
          <w:lang w:eastAsia="en-US"/>
        </w:rPr>
        <w:t xml:space="preserve"> Онлайн» вошел в десятку лучших мобильных банков в </w:t>
      </w:r>
      <w:proofErr w:type="spellStart"/>
      <w:r>
        <w:rPr>
          <w:rFonts w:eastAsia="Calibri"/>
          <w:sz w:val="22"/>
          <w:szCs w:val="22"/>
          <w:lang w:val="en-US" w:eastAsia="en-US"/>
        </w:rPr>
        <w:t>RuStore</w:t>
      </w:r>
      <w:proofErr w:type="spellEnd"/>
      <w:r>
        <w:rPr>
          <w:rFonts w:eastAsia="Calibri"/>
          <w:sz w:val="22"/>
          <w:szCs w:val="22"/>
          <w:lang w:eastAsia="en-US"/>
        </w:rPr>
        <w:t xml:space="preserve"> по версии портала </w:t>
      </w:r>
      <w:proofErr w:type="spellStart"/>
      <w:r>
        <w:rPr>
          <w:rFonts w:eastAsia="Calibri"/>
          <w:sz w:val="22"/>
          <w:szCs w:val="22"/>
          <w:lang w:val="en-US" w:eastAsia="en-US"/>
        </w:rPr>
        <w:t>Brobank</w:t>
      </w:r>
      <w:proofErr w:type="spellEnd"/>
      <w:r>
        <w:rPr>
          <w:rFonts w:eastAsia="Calibri"/>
          <w:sz w:val="22"/>
          <w:szCs w:val="22"/>
          <w:lang w:eastAsia="en-US"/>
        </w:rPr>
        <w:t>.</w:t>
      </w:r>
      <w:proofErr w:type="spellStart"/>
      <w:r>
        <w:rPr>
          <w:rFonts w:eastAsia="Calibri"/>
          <w:sz w:val="22"/>
          <w:szCs w:val="22"/>
          <w:lang w:val="en-US" w:eastAsia="en-US"/>
        </w:rPr>
        <w:t>ru</w:t>
      </w:r>
      <w:proofErr w:type="spellEnd"/>
      <w:r>
        <w:rPr>
          <w:rFonts w:eastAsia="Calibri"/>
          <w:sz w:val="22"/>
          <w:szCs w:val="22"/>
          <w:lang w:eastAsia="en-US"/>
        </w:rPr>
        <w:t>, а «</w:t>
      </w:r>
      <w:proofErr w:type="spellStart"/>
      <w:r>
        <w:rPr>
          <w:rFonts w:eastAsia="Calibri"/>
          <w:sz w:val="22"/>
          <w:szCs w:val="22"/>
          <w:lang w:eastAsia="en-US"/>
        </w:rPr>
        <w:t>Уралсиб</w:t>
      </w:r>
      <w:proofErr w:type="spellEnd"/>
      <w:r>
        <w:rPr>
          <w:rFonts w:eastAsia="Calibri"/>
          <w:sz w:val="22"/>
          <w:szCs w:val="22"/>
          <w:lang w:eastAsia="en-US"/>
        </w:rPr>
        <w:t xml:space="preserve"> для бизнеса» – в Топ-10 рейтинга цифрового опыта интернет-банков для бизнеса по версии агентства </w:t>
      </w:r>
      <w:proofErr w:type="spellStart"/>
      <w:r>
        <w:rPr>
          <w:rFonts w:eastAsia="Calibri"/>
          <w:sz w:val="22"/>
          <w:szCs w:val="22"/>
          <w:lang w:val="en-US" w:eastAsia="en-US"/>
        </w:rPr>
        <w:t>MarksWebb</w:t>
      </w:r>
      <w:proofErr w:type="spellEnd"/>
      <w:r>
        <w:rPr>
          <w:rFonts w:eastAsia="Calibri"/>
          <w:sz w:val="22"/>
          <w:szCs w:val="22"/>
          <w:lang w:eastAsia="en-US"/>
        </w:rPr>
        <w:t>, дополнительно отметившего «Личный кабинет для ВЭД» как лучший на рынке. Несмотря на успехи в этом направлении, Банк не ограничивается развитием каналов удаленного обслуживания, и продолжает рассматривать физическое присутствие в регионах как важное преимущество. В 2025 году Банк занял 11 место по количеству офисов в стране и региональному охвату, были открыты офисы в двух новых регионах – Калужской области и Мордовии.</w:t>
      </w:r>
    </w:p>
    <w:p w:rsidR="00773E2C" w:rsidRDefault="00805665">
      <w:pPr>
        <w:tabs>
          <w:tab w:val="left" w:pos="1260"/>
        </w:tabs>
        <w:ind w:firstLine="567"/>
        <w:jc w:val="both"/>
        <w:rPr>
          <w:rFonts w:eastAsia="Calibri"/>
          <w:sz w:val="22"/>
          <w:szCs w:val="22"/>
          <w:lang w:eastAsia="en-US"/>
        </w:rPr>
      </w:pPr>
      <w:r>
        <w:rPr>
          <w:rFonts w:eastAsia="Calibri"/>
          <w:sz w:val="22"/>
          <w:szCs w:val="22"/>
          <w:lang w:eastAsia="en-US"/>
        </w:rPr>
        <w:t>Инновационное развитие и использование возможностей, предоставляемых новыми технологиями, являются для Банка приоритетом. В 2025 году Банк вошел в топ-10 самых инновационных банков России по версии Фонда «</w:t>
      </w:r>
      <w:proofErr w:type="spellStart"/>
      <w:r>
        <w:rPr>
          <w:rFonts w:eastAsia="Calibri"/>
          <w:sz w:val="22"/>
          <w:szCs w:val="22"/>
          <w:lang w:eastAsia="en-US"/>
        </w:rPr>
        <w:t>Сколково</w:t>
      </w:r>
      <w:proofErr w:type="spellEnd"/>
      <w:r>
        <w:rPr>
          <w:rFonts w:eastAsia="Calibri"/>
          <w:sz w:val="22"/>
          <w:szCs w:val="22"/>
          <w:lang w:eastAsia="en-US"/>
        </w:rPr>
        <w:t xml:space="preserve">» и в топ-15 рейтинга цифровой зрелости банков, подготовленного CX </w:t>
      </w:r>
      <w:proofErr w:type="spellStart"/>
      <w:r>
        <w:rPr>
          <w:rFonts w:eastAsia="Calibri"/>
          <w:sz w:val="22"/>
          <w:szCs w:val="22"/>
          <w:lang w:eastAsia="en-US"/>
        </w:rPr>
        <w:t>Digital</w:t>
      </w:r>
      <w:proofErr w:type="spellEnd"/>
      <w:r>
        <w:rPr>
          <w:rFonts w:eastAsia="Calibri"/>
          <w:sz w:val="22"/>
          <w:szCs w:val="22"/>
          <w:lang w:eastAsia="en-US"/>
        </w:rPr>
        <w:t xml:space="preserve"> &amp; </w:t>
      </w:r>
      <w:proofErr w:type="spellStart"/>
      <w:r>
        <w:rPr>
          <w:rFonts w:eastAsia="Calibri"/>
          <w:sz w:val="22"/>
          <w:szCs w:val="22"/>
          <w:lang w:eastAsia="en-US"/>
        </w:rPr>
        <w:t>Distant</w:t>
      </w:r>
      <w:proofErr w:type="spellEnd"/>
      <w:r>
        <w:rPr>
          <w:rFonts w:eastAsia="Calibri"/>
          <w:sz w:val="22"/>
          <w:szCs w:val="22"/>
          <w:lang w:eastAsia="en-US"/>
        </w:rPr>
        <w:t xml:space="preserve"> </w:t>
      </w:r>
      <w:proofErr w:type="spellStart"/>
      <w:r>
        <w:rPr>
          <w:rFonts w:eastAsia="Calibri"/>
          <w:sz w:val="22"/>
          <w:szCs w:val="22"/>
          <w:lang w:eastAsia="en-US"/>
        </w:rPr>
        <w:t>Index</w:t>
      </w:r>
      <w:proofErr w:type="spellEnd"/>
      <w:r>
        <w:rPr>
          <w:rFonts w:eastAsia="Calibri"/>
          <w:sz w:val="22"/>
          <w:szCs w:val="22"/>
          <w:lang w:eastAsia="en-US"/>
        </w:rPr>
        <w:t>. Награду «</w:t>
      </w:r>
      <w:proofErr w:type="spellStart"/>
      <w:r>
        <w:rPr>
          <w:rFonts w:eastAsia="Calibri"/>
          <w:sz w:val="22"/>
          <w:szCs w:val="22"/>
          <w:lang w:eastAsia="en-US"/>
        </w:rPr>
        <w:t>Финтех</w:t>
      </w:r>
      <w:proofErr w:type="spellEnd"/>
      <w:r>
        <w:rPr>
          <w:rFonts w:eastAsia="Calibri"/>
          <w:sz w:val="22"/>
          <w:szCs w:val="22"/>
          <w:lang w:eastAsia="en-US"/>
        </w:rPr>
        <w:t xml:space="preserve">-проект года» Банк получил за свою платформу выдачи банковских гарантий для участников </w:t>
      </w:r>
      <w:proofErr w:type="spellStart"/>
      <w:r>
        <w:rPr>
          <w:rFonts w:eastAsia="Calibri"/>
          <w:sz w:val="22"/>
          <w:szCs w:val="22"/>
          <w:lang w:eastAsia="en-US"/>
        </w:rPr>
        <w:t>госзакупок</w:t>
      </w:r>
      <w:proofErr w:type="spellEnd"/>
      <w:r>
        <w:rPr>
          <w:rFonts w:eastAsia="Calibri"/>
          <w:sz w:val="22"/>
          <w:szCs w:val="22"/>
          <w:lang w:eastAsia="en-US"/>
        </w:rPr>
        <w:t xml:space="preserve"> и коммерческих контрактов. Внутренние процессы Банка также постоянно совершенствуются с применением современных технологий, подтверждение тому – награды BI AWARD 2025 «За использование </w:t>
      </w:r>
      <w:proofErr w:type="spellStart"/>
      <w:r>
        <w:rPr>
          <w:rFonts w:eastAsia="Calibri"/>
          <w:sz w:val="22"/>
          <w:szCs w:val="22"/>
          <w:lang w:eastAsia="en-US"/>
        </w:rPr>
        <w:t>геймификации</w:t>
      </w:r>
      <w:proofErr w:type="spellEnd"/>
      <w:r>
        <w:rPr>
          <w:rFonts w:eastAsia="Calibri"/>
          <w:sz w:val="22"/>
          <w:szCs w:val="22"/>
          <w:lang w:eastAsia="en-US"/>
        </w:rPr>
        <w:t xml:space="preserve"> в трансформации корпоративной культуры» и </w:t>
      </w:r>
      <w:r>
        <w:rPr>
          <w:rFonts w:eastAsia="Calibri"/>
          <w:sz w:val="22"/>
          <w:szCs w:val="22"/>
          <w:lang w:val="en-US" w:eastAsia="en-US"/>
        </w:rPr>
        <w:t>Russian</w:t>
      </w:r>
      <w:r>
        <w:rPr>
          <w:rFonts w:eastAsia="Calibri"/>
          <w:sz w:val="22"/>
          <w:szCs w:val="22"/>
          <w:lang w:eastAsia="en-US"/>
        </w:rPr>
        <w:t xml:space="preserve"> </w:t>
      </w:r>
      <w:r>
        <w:rPr>
          <w:rFonts w:eastAsia="Calibri"/>
          <w:sz w:val="22"/>
          <w:szCs w:val="22"/>
          <w:lang w:val="en-US" w:eastAsia="en-US"/>
        </w:rPr>
        <w:t>Employee</w:t>
      </w:r>
      <w:r>
        <w:rPr>
          <w:rFonts w:eastAsia="Calibri"/>
          <w:sz w:val="22"/>
          <w:szCs w:val="22"/>
          <w:lang w:eastAsia="en-US"/>
        </w:rPr>
        <w:t xml:space="preserve"> </w:t>
      </w:r>
      <w:r>
        <w:rPr>
          <w:rFonts w:eastAsia="Calibri"/>
          <w:sz w:val="22"/>
          <w:szCs w:val="22"/>
          <w:lang w:val="en-US" w:eastAsia="en-US"/>
        </w:rPr>
        <w:t>Experience</w:t>
      </w:r>
      <w:r>
        <w:rPr>
          <w:rFonts w:eastAsia="Calibri"/>
          <w:sz w:val="22"/>
          <w:szCs w:val="22"/>
          <w:lang w:eastAsia="en-US"/>
        </w:rPr>
        <w:t xml:space="preserve"> </w:t>
      </w:r>
      <w:r>
        <w:rPr>
          <w:rFonts w:eastAsia="Calibri"/>
          <w:sz w:val="22"/>
          <w:szCs w:val="22"/>
          <w:lang w:val="en-US" w:eastAsia="en-US"/>
        </w:rPr>
        <w:t>Awards</w:t>
      </w:r>
      <w:r>
        <w:rPr>
          <w:rFonts w:eastAsia="Calibri"/>
          <w:sz w:val="22"/>
          <w:szCs w:val="22"/>
          <w:lang w:eastAsia="en-US"/>
        </w:rPr>
        <w:t xml:space="preserve"> 2025 в номинациях «Лучшее цифровое решение по работе с идеями сотрудников» и «Лучшая команда по </w:t>
      </w:r>
      <w:proofErr w:type="spellStart"/>
      <w:r>
        <w:rPr>
          <w:rFonts w:eastAsia="Calibri"/>
          <w:sz w:val="22"/>
          <w:szCs w:val="22"/>
          <w:lang w:eastAsia="en-US"/>
        </w:rPr>
        <w:t>цифровизации</w:t>
      </w:r>
      <w:proofErr w:type="spellEnd"/>
      <w:r>
        <w:rPr>
          <w:rFonts w:eastAsia="Calibri"/>
          <w:sz w:val="22"/>
          <w:szCs w:val="22"/>
          <w:lang w:eastAsia="en-US"/>
        </w:rPr>
        <w:t xml:space="preserve"> бизнеса». Описание практик, применяемых в Банке, стало частью нового ГОСТ Р 72388-2025 «Управление идеями в организации».</w:t>
      </w:r>
    </w:p>
    <w:p w:rsidR="00773E2C" w:rsidRDefault="00805665">
      <w:pPr>
        <w:tabs>
          <w:tab w:val="left" w:pos="1260"/>
        </w:tabs>
        <w:ind w:firstLine="567"/>
        <w:jc w:val="both"/>
        <w:rPr>
          <w:rFonts w:eastAsia="Calibri"/>
          <w:sz w:val="22"/>
          <w:szCs w:val="22"/>
          <w:lang w:eastAsia="en-US"/>
        </w:rPr>
      </w:pPr>
      <w:r>
        <w:rPr>
          <w:rFonts w:eastAsia="Calibri"/>
          <w:sz w:val="22"/>
          <w:szCs w:val="22"/>
          <w:lang w:eastAsia="en-US"/>
        </w:rPr>
        <w:t>Динамика ключевых финансовых показателей Банка за прошедшие три года приведена в таблице 3.2.1.</w:t>
      </w:r>
    </w:p>
    <w:p w:rsidR="00C16D6C" w:rsidRDefault="00C16D6C">
      <w:pPr>
        <w:tabs>
          <w:tab w:val="left" w:pos="1260"/>
        </w:tabs>
        <w:ind w:firstLine="567"/>
        <w:jc w:val="both"/>
        <w:rPr>
          <w:rFonts w:eastAsia="Calibri"/>
          <w:sz w:val="22"/>
          <w:szCs w:val="22"/>
          <w:lang w:eastAsia="en-US"/>
        </w:rPr>
      </w:pPr>
    </w:p>
    <w:p w:rsidR="00773E2C" w:rsidRDefault="00805665">
      <w:pPr>
        <w:tabs>
          <w:tab w:val="left" w:pos="1260"/>
        </w:tabs>
        <w:ind w:firstLine="567"/>
        <w:jc w:val="both"/>
        <w:rPr>
          <w:rFonts w:eastAsia="Calibri"/>
          <w:b/>
          <w:sz w:val="22"/>
          <w:szCs w:val="22"/>
          <w:lang w:eastAsia="en-US"/>
        </w:rPr>
      </w:pPr>
      <w:r>
        <w:rPr>
          <w:rFonts w:eastAsia="Calibri"/>
          <w:b/>
          <w:sz w:val="22"/>
          <w:szCs w:val="22"/>
          <w:lang w:eastAsia="en-US"/>
        </w:rPr>
        <w:t>Таблица 3.2.1 Динамика ключевых финансовых показателей Банка за 2023</w:t>
      </w:r>
      <w:r>
        <w:rPr>
          <w:rFonts w:eastAsia="Calibri"/>
          <w:b/>
          <w:sz w:val="22"/>
          <w:szCs w:val="22"/>
          <w:lang w:val="en-US" w:eastAsia="en-US"/>
        </w:rPr>
        <w:t> </w:t>
      </w:r>
      <w:r>
        <w:rPr>
          <w:rFonts w:eastAsia="Calibri"/>
          <w:b/>
          <w:sz w:val="22"/>
          <w:szCs w:val="22"/>
          <w:lang w:eastAsia="en-US"/>
        </w:rPr>
        <w:t>–</w:t>
      </w:r>
      <w:r>
        <w:rPr>
          <w:rFonts w:eastAsia="Calibri"/>
          <w:b/>
          <w:sz w:val="22"/>
          <w:szCs w:val="22"/>
          <w:lang w:val="en-US" w:eastAsia="en-US"/>
        </w:rPr>
        <w:t> </w:t>
      </w:r>
      <w:r>
        <w:rPr>
          <w:rFonts w:eastAsia="Calibri"/>
          <w:b/>
          <w:sz w:val="22"/>
          <w:szCs w:val="22"/>
          <w:lang w:eastAsia="en-US"/>
        </w:rPr>
        <w:t>2025</w:t>
      </w:r>
      <w:r>
        <w:rPr>
          <w:rFonts w:eastAsia="Calibri"/>
          <w:b/>
          <w:sz w:val="22"/>
          <w:szCs w:val="22"/>
          <w:lang w:val="en-US" w:eastAsia="en-US"/>
        </w:rPr>
        <w:t> </w:t>
      </w:r>
      <w:r>
        <w:rPr>
          <w:rFonts w:eastAsia="Calibri"/>
          <w:b/>
          <w:sz w:val="22"/>
          <w:szCs w:val="22"/>
          <w:lang w:eastAsia="en-US"/>
        </w:rPr>
        <w:t>годы</w:t>
      </w:r>
    </w:p>
    <w:p w:rsidR="00773E2C" w:rsidRDefault="00773E2C">
      <w:pPr>
        <w:tabs>
          <w:tab w:val="left" w:pos="1260"/>
        </w:tabs>
        <w:ind w:firstLine="567"/>
        <w:jc w:val="both"/>
        <w:rPr>
          <w:rFonts w:eastAsia="Calibri"/>
          <w:sz w:val="22"/>
          <w:szCs w:val="22"/>
          <w:lang w:eastAsia="en-US"/>
        </w:rPr>
      </w:pPr>
    </w:p>
    <w:tbl>
      <w:tblPr>
        <w:tblW w:w="98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140"/>
        <w:gridCol w:w="1140"/>
        <w:gridCol w:w="1140"/>
        <w:gridCol w:w="1140"/>
        <w:gridCol w:w="1140"/>
        <w:gridCol w:w="1140"/>
      </w:tblGrid>
      <w:tr w:rsidR="00773E2C">
        <w:trPr>
          <w:trHeight w:val="340"/>
        </w:trPr>
        <w:tc>
          <w:tcPr>
            <w:tcW w:w="2977" w:type="dxa"/>
            <w:shd w:val="clear" w:color="auto" w:fill="auto"/>
            <w:vAlign w:val="center"/>
          </w:tcPr>
          <w:p w:rsidR="00773E2C" w:rsidRDefault="00805665">
            <w:pPr>
              <w:autoSpaceDE w:val="0"/>
              <w:autoSpaceDN w:val="0"/>
              <w:adjustRightInd w:val="0"/>
              <w:jc w:val="center"/>
              <w:rPr>
                <w:b/>
                <w:bCs/>
                <w:sz w:val="20"/>
                <w:szCs w:val="20"/>
              </w:rPr>
            </w:pPr>
            <w:r>
              <w:rPr>
                <w:b/>
                <w:bCs/>
                <w:sz w:val="20"/>
                <w:szCs w:val="20"/>
              </w:rPr>
              <w:t>Наименование показателя*</w:t>
            </w:r>
          </w:p>
        </w:tc>
        <w:tc>
          <w:tcPr>
            <w:tcW w:w="2280" w:type="dxa"/>
            <w:gridSpan w:val="2"/>
            <w:shd w:val="clear" w:color="auto" w:fill="auto"/>
            <w:vAlign w:val="center"/>
          </w:tcPr>
          <w:p w:rsidR="00773E2C" w:rsidRDefault="00805665">
            <w:pPr>
              <w:autoSpaceDE w:val="0"/>
              <w:autoSpaceDN w:val="0"/>
              <w:adjustRightInd w:val="0"/>
              <w:jc w:val="center"/>
              <w:rPr>
                <w:b/>
                <w:bCs/>
                <w:sz w:val="20"/>
                <w:szCs w:val="20"/>
              </w:rPr>
            </w:pPr>
            <w:r>
              <w:rPr>
                <w:b/>
                <w:bCs/>
                <w:sz w:val="20"/>
                <w:szCs w:val="20"/>
              </w:rPr>
              <w:t>2023 год</w:t>
            </w:r>
          </w:p>
        </w:tc>
        <w:tc>
          <w:tcPr>
            <w:tcW w:w="2280" w:type="dxa"/>
            <w:gridSpan w:val="2"/>
            <w:vAlign w:val="center"/>
          </w:tcPr>
          <w:p w:rsidR="00773E2C" w:rsidRDefault="00805665">
            <w:pPr>
              <w:autoSpaceDE w:val="0"/>
              <w:autoSpaceDN w:val="0"/>
              <w:adjustRightInd w:val="0"/>
              <w:jc w:val="center"/>
              <w:rPr>
                <w:b/>
                <w:bCs/>
                <w:sz w:val="20"/>
                <w:szCs w:val="20"/>
              </w:rPr>
            </w:pPr>
            <w:r>
              <w:rPr>
                <w:b/>
                <w:bCs/>
                <w:sz w:val="20"/>
                <w:szCs w:val="20"/>
              </w:rPr>
              <w:t>2024 год</w:t>
            </w:r>
          </w:p>
        </w:tc>
        <w:tc>
          <w:tcPr>
            <w:tcW w:w="2280" w:type="dxa"/>
            <w:gridSpan w:val="2"/>
            <w:vAlign w:val="center"/>
          </w:tcPr>
          <w:p w:rsidR="00773E2C" w:rsidRDefault="00805665">
            <w:pPr>
              <w:autoSpaceDE w:val="0"/>
              <w:autoSpaceDN w:val="0"/>
              <w:adjustRightInd w:val="0"/>
              <w:jc w:val="center"/>
              <w:rPr>
                <w:b/>
                <w:bCs/>
                <w:sz w:val="20"/>
                <w:szCs w:val="20"/>
              </w:rPr>
            </w:pPr>
            <w:r>
              <w:rPr>
                <w:b/>
                <w:bCs/>
                <w:sz w:val="20"/>
                <w:szCs w:val="20"/>
              </w:rPr>
              <w:t>2025 год</w:t>
            </w:r>
          </w:p>
        </w:tc>
      </w:tr>
      <w:tr w:rsidR="00773E2C">
        <w:tc>
          <w:tcPr>
            <w:tcW w:w="2977" w:type="dxa"/>
            <w:shd w:val="clear" w:color="auto" w:fill="auto"/>
            <w:vAlign w:val="center"/>
          </w:tcPr>
          <w:p w:rsidR="00773E2C" w:rsidRDefault="00805665">
            <w:pPr>
              <w:autoSpaceDE w:val="0"/>
              <w:autoSpaceDN w:val="0"/>
              <w:adjustRightInd w:val="0"/>
              <w:rPr>
                <w:bCs/>
                <w:sz w:val="20"/>
                <w:szCs w:val="20"/>
              </w:rPr>
            </w:pPr>
            <w:r>
              <w:rPr>
                <w:bCs/>
                <w:sz w:val="20"/>
                <w:szCs w:val="20"/>
              </w:rPr>
              <w:t>Собственные средства (капитал), млрд руб.</w:t>
            </w:r>
          </w:p>
        </w:tc>
        <w:tc>
          <w:tcPr>
            <w:tcW w:w="1140" w:type="dxa"/>
            <w:shd w:val="clear" w:color="auto" w:fill="auto"/>
            <w:vAlign w:val="center"/>
          </w:tcPr>
          <w:p w:rsidR="00773E2C" w:rsidRDefault="00805665">
            <w:pPr>
              <w:jc w:val="center"/>
              <w:rPr>
                <w:sz w:val="20"/>
                <w:szCs w:val="20"/>
              </w:rPr>
            </w:pPr>
            <w:r>
              <w:rPr>
                <w:sz w:val="20"/>
                <w:szCs w:val="20"/>
              </w:rPr>
              <w:t>90,0</w:t>
            </w:r>
          </w:p>
        </w:tc>
        <w:tc>
          <w:tcPr>
            <w:tcW w:w="1140" w:type="dxa"/>
            <w:shd w:val="clear" w:color="auto" w:fill="auto"/>
            <w:vAlign w:val="center"/>
          </w:tcPr>
          <w:p w:rsidR="00773E2C" w:rsidRDefault="00805665">
            <w:pPr>
              <w:jc w:val="center"/>
              <w:rPr>
                <w:sz w:val="20"/>
                <w:szCs w:val="20"/>
              </w:rPr>
            </w:pPr>
            <w:r>
              <w:rPr>
                <w:sz w:val="20"/>
                <w:szCs w:val="20"/>
              </w:rPr>
              <w:t>16,4%</w:t>
            </w:r>
          </w:p>
        </w:tc>
        <w:tc>
          <w:tcPr>
            <w:tcW w:w="1140" w:type="dxa"/>
            <w:vAlign w:val="center"/>
          </w:tcPr>
          <w:p w:rsidR="00773E2C" w:rsidRDefault="00805665">
            <w:pPr>
              <w:jc w:val="center"/>
              <w:rPr>
                <w:sz w:val="20"/>
                <w:szCs w:val="20"/>
              </w:rPr>
            </w:pPr>
            <w:r>
              <w:rPr>
                <w:sz w:val="20"/>
                <w:szCs w:val="20"/>
              </w:rPr>
              <w:t>96,9</w:t>
            </w:r>
          </w:p>
        </w:tc>
        <w:tc>
          <w:tcPr>
            <w:tcW w:w="1140" w:type="dxa"/>
            <w:vAlign w:val="center"/>
          </w:tcPr>
          <w:p w:rsidR="00773E2C" w:rsidRDefault="00805665">
            <w:pPr>
              <w:jc w:val="center"/>
              <w:rPr>
                <w:sz w:val="20"/>
                <w:szCs w:val="20"/>
              </w:rPr>
            </w:pPr>
            <w:r>
              <w:rPr>
                <w:sz w:val="20"/>
                <w:szCs w:val="20"/>
              </w:rPr>
              <w:t>7,7%</w:t>
            </w:r>
          </w:p>
        </w:tc>
        <w:tc>
          <w:tcPr>
            <w:tcW w:w="1140" w:type="dxa"/>
            <w:vAlign w:val="center"/>
          </w:tcPr>
          <w:p w:rsidR="00773E2C" w:rsidRDefault="00805665">
            <w:pPr>
              <w:jc w:val="center"/>
              <w:rPr>
                <w:sz w:val="20"/>
                <w:szCs w:val="20"/>
              </w:rPr>
            </w:pPr>
            <w:r>
              <w:rPr>
                <w:sz w:val="20"/>
                <w:szCs w:val="20"/>
              </w:rPr>
              <w:t>107,9</w:t>
            </w:r>
          </w:p>
        </w:tc>
        <w:tc>
          <w:tcPr>
            <w:tcW w:w="1140" w:type="dxa"/>
            <w:vAlign w:val="center"/>
          </w:tcPr>
          <w:p w:rsidR="00773E2C" w:rsidRDefault="00805665">
            <w:pPr>
              <w:jc w:val="center"/>
              <w:rPr>
                <w:sz w:val="20"/>
                <w:szCs w:val="20"/>
              </w:rPr>
            </w:pPr>
            <w:r>
              <w:rPr>
                <w:sz w:val="20"/>
                <w:szCs w:val="20"/>
              </w:rPr>
              <w:t>11,4%</w:t>
            </w:r>
          </w:p>
        </w:tc>
      </w:tr>
      <w:tr w:rsidR="00773E2C">
        <w:tc>
          <w:tcPr>
            <w:tcW w:w="2977" w:type="dxa"/>
            <w:shd w:val="clear" w:color="auto" w:fill="auto"/>
            <w:vAlign w:val="center"/>
          </w:tcPr>
          <w:p w:rsidR="00773E2C" w:rsidRDefault="00805665">
            <w:pPr>
              <w:autoSpaceDE w:val="0"/>
              <w:autoSpaceDN w:val="0"/>
              <w:adjustRightInd w:val="0"/>
              <w:rPr>
                <w:bCs/>
                <w:sz w:val="20"/>
                <w:szCs w:val="20"/>
              </w:rPr>
            </w:pPr>
            <w:r>
              <w:rPr>
                <w:bCs/>
                <w:sz w:val="20"/>
                <w:szCs w:val="20"/>
              </w:rPr>
              <w:t>Норматив достаточности собственных средств (капитала) (H1.0), %</w:t>
            </w:r>
          </w:p>
        </w:tc>
        <w:tc>
          <w:tcPr>
            <w:tcW w:w="2280" w:type="dxa"/>
            <w:gridSpan w:val="2"/>
            <w:shd w:val="clear" w:color="auto" w:fill="auto"/>
            <w:vAlign w:val="center"/>
          </w:tcPr>
          <w:p w:rsidR="00773E2C" w:rsidRDefault="00805665">
            <w:pPr>
              <w:jc w:val="center"/>
              <w:rPr>
                <w:sz w:val="20"/>
                <w:szCs w:val="20"/>
              </w:rPr>
            </w:pPr>
            <w:r>
              <w:rPr>
                <w:sz w:val="20"/>
                <w:szCs w:val="20"/>
              </w:rPr>
              <w:t>13,4%</w:t>
            </w:r>
          </w:p>
        </w:tc>
        <w:tc>
          <w:tcPr>
            <w:tcW w:w="2280" w:type="dxa"/>
            <w:gridSpan w:val="2"/>
            <w:vAlign w:val="center"/>
          </w:tcPr>
          <w:p w:rsidR="00773E2C" w:rsidRDefault="00805665">
            <w:pPr>
              <w:jc w:val="center"/>
              <w:rPr>
                <w:sz w:val="20"/>
                <w:szCs w:val="20"/>
              </w:rPr>
            </w:pPr>
            <w:r>
              <w:rPr>
                <w:sz w:val="20"/>
                <w:szCs w:val="20"/>
              </w:rPr>
              <w:t>11,9%</w:t>
            </w:r>
          </w:p>
        </w:tc>
        <w:tc>
          <w:tcPr>
            <w:tcW w:w="2280" w:type="dxa"/>
            <w:gridSpan w:val="2"/>
            <w:vAlign w:val="center"/>
          </w:tcPr>
          <w:p w:rsidR="00773E2C" w:rsidRDefault="00805665">
            <w:pPr>
              <w:jc w:val="center"/>
              <w:rPr>
                <w:sz w:val="20"/>
                <w:szCs w:val="20"/>
              </w:rPr>
            </w:pPr>
            <w:r>
              <w:rPr>
                <w:sz w:val="20"/>
                <w:szCs w:val="20"/>
              </w:rPr>
              <w:t>13,3%</w:t>
            </w:r>
          </w:p>
        </w:tc>
      </w:tr>
      <w:tr w:rsidR="00773E2C">
        <w:tc>
          <w:tcPr>
            <w:tcW w:w="2977" w:type="dxa"/>
            <w:shd w:val="clear" w:color="auto" w:fill="auto"/>
            <w:vAlign w:val="center"/>
          </w:tcPr>
          <w:p w:rsidR="00773E2C" w:rsidRDefault="00805665">
            <w:pPr>
              <w:autoSpaceDE w:val="0"/>
              <w:autoSpaceDN w:val="0"/>
              <w:adjustRightInd w:val="0"/>
              <w:rPr>
                <w:bCs/>
                <w:sz w:val="20"/>
                <w:szCs w:val="20"/>
              </w:rPr>
            </w:pPr>
            <w:r>
              <w:rPr>
                <w:bCs/>
                <w:sz w:val="20"/>
                <w:szCs w:val="20"/>
              </w:rPr>
              <w:t>Норматив достаточности базового капитала (H1.1), %</w:t>
            </w:r>
          </w:p>
        </w:tc>
        <w:tc>
          <w:tcPr>
            <w:tcW w:w="2280" w:type="dxa"/>
            <w:gridSpan w:val="2"/>
            <w:shd w:val="clear" w:color="auto" w:fill="auto"/>
            <w:vAlign w:val="center"/>
          </w:tcPr>
          <w:p w:rsidR="00773E2C" w:rsidRDefault="00805665">
            <w:pPr>
              <w:jc w:val="center"/>
              <w:rPr>
                <w:sz w:val="20"/>
                <w:szCs w:val="20"/>
              </w:rPr>
            </w:pPr>
            <w:r>
              <w:rPr>
                <w:sz w:val="20"/>
                <w:szCs w:val="20"/>
              </w:rPr>
              <w:t>13,1%</w:t>
            </w:r>
          </w:p>
        </w:tc>
        <w:tc>
          <w:tcPr>
            <w:tcW w:w="2280" w:type="dxa"/>
            <w:gridSpan w:val="2"/>
            <w:vAlign w:val="center"/>
          </w:tcPr>
          <w:p w:rsidR="00773E2C" w:rsidRDefault="00805665">
            <w:pPr>
              <w:jc w:val="center"/>
              <w:rPr>
                <w:sz w:val="20"/>
                <w:szCs w:val="20"/>
              </w:rPr>
            </w:pPr>
            <w:r>
              <w:rPr>
                <w:sz w:val="20"/>
                <w:szCs w:val="20"/>
              </w:rPr>
              <w:t>11,6%</w:t>
            </w:r>
          </w:p>
        </w:tc>
        <w:tc>
          <w:tcPr>
            <w:tcW w:w="2280" w:type="dxa"/>
            <w:gridSpan w:val="2"/>
            <w:vAlign w:val="center"/>
          </w:tcPr>
          <w:p w:rsidR="00773E2C" w:rsidRDefault="00805665">
            <w:pPr>
              <w:jc w:val="center"/>
              <w:rPr>
                <w:sz w:val="20"/>
                <w:szCs w:val="20"/>
              </w:rPr>
            </w:pPr>
            <w:r>
              <w:rPr>
                <w:sz w:val="20"/>
                <w:szCs w:val="20"/>
              </w:rPr>
              <w:t>13,1%</w:t>
            </w:r>
          </w:p>
        </w:tc>
      </w:tr>
      <w:tr w:rsidR="00773E2C">
        <w:tc>
          <w:tcPr>
            <w:tcW w:w="2977" w:type="dxa"/>
            <w:shd w:val="clear" w:color="auto" w:fill="auto"/>
            <w:vAlign w:val="center"/>
          </w:tcPr>
          <w:p w:rsidR="00773E2C" w:rsidRDefault="00805665">
            <w:pPr>
              <w:autoSpaceDE w:val="0"/>
              <w:autoSpaceDN w:val="0"/>
              <w:adjustRightInd w:val="0"/>
              <w:rPr>
                <w:bCs/>
                <w:sz w:val="20"/>
                <w:szCs w:val="20"/>
              </w:rPr>
            </w:pPr>
            <w:r>
              <w:rPr>
                <w:bCs/>
                <w:sz w:val="20"/>
                <w:szCs w:val="20"/>
              </w:rPr>
              <w:t>Норматив достаточности основного капитала (H1.2), %</w:t>
            </w:r>
          </w:p>
        </w:tc>
        <w:tc>
          <w:tcPr>
            <w:tcW w:w="2280" w:type="dxa"/>
            <w:gridSpan w:val="2"/>
            <w:shd w:val="clear" w:color="auto" w:fill="auto"/>
            <w:vAlign w:val="center"/>
          </w:tcPr>
          <w:p w:rsidR="00773E2C" w:rsidRDefault="00805665">
            <w:pPr>
              <w:jc w:val="center"/>
              <w:rPr>
                <w:sz w:val="20"/>
                <w:szCs w:val="20"/>
              </w:rPr>
            </w:pPr>
            <w:r>
              <w:rPr>
                <w:sz w:val="20"/>
                <w:szCs w:val="20"/>
              </w:rPr>
              <w:t>13,1%</w:t>
            </w:r>
          </w:p>
        </w:tc>
        <w:tc>
          <w:tcPr>
            <w:tcW w:w="2280" w:type="dxa"/>
            <w:gridSpan w:val="2"/>
            <w:vAlign w:val="center"/>
          </w:tcPr>
          <w:p w:rsidR="00773E2C" w:rsidRDefault="00805665">
            <w:pPr>
              <w:jc w:val="center"/>
              <w:rPr>
                <w:sz w:val="20"/>
                <w:szCs w:val="20"/>
              </w:rPr>
            </w:pPr>
            <w:r>
              <w:rPr>
                <w:sz w:val="20"/>
                <w:szCs w:val="20"/>
              </w:rPr>
              <w:t>11,6%</w:t>
            </w:r>
          </w:p>
        </w:tc>
        <w:tc>
          <w:tcPr>
            <w:tcW w:w="2280" w:type="dxa"/>
            <w:gridSpan w:val="2"/>
            <w:vAlign w:val="center"/>
          </w:tcPr>
          <w:p w:rsidR="00773E2C" w:rsidRDefault="00805665">
            <w:pPr>
              <w:jc w:val="center"/>
              <w:rPr>
                <w:sz w:val="20"/>
                <w:szCs w:val="20"/>
              </w:rPr>
            </w:pPr>
            <w:r>
              <w:rPr>
                <w:sz w:val="20"/>
                <w:szCs w:val="20"/>
              </w:rPr>
              <w:t>13,1%</w:t>
            </w:r>
          </w:p>
        </w:tc>
      </w:tr>
      <w:tr w:rsidR="00773E2C">
        <w:trPr>
          <w:trHeight w:val="283"/>
        </w:trPr>
        <w:tc>
          <w:tcPr>
            <w:tcW w:w="2977" w:type="dxa"/>
            <w:shd w:val="clear" w:color="auto" w:fill="auto"/>
            <w:vAlign w:val="center"/>
          </w:tcPr>
          <w:p w:rsidR="00773E2C" w:rsidRDefault="00805665">
            <w:pPr>
              <w:autoSpaceDE w:val="0"/>
              <w:autoSpaceDN w:val="0"/>
              <w:adjustRightInd w:val="0"/>
              <w:rPr>
                <w:bCs/>
                <w:sz w:val="20"/>
                <w:szCs w:val="20"/>
              </w:rPr>
            </w:pPr>
            <w:r>
              <w:rPr>
                <w:bCs/>
                <w:sz w:val="20"/>
                <w:szCs w:val="20"/>
              </w:rPr>
              <w:t>Рентабельность капитала (ROE), %</w:t>
            </w:r>
          </w:p>
        </w:tc>
        <w:tc>
          <w:tcPr>
            <w:tcW w:w="2280" w:type="dxa"/>
            <w:gridSpan w:val="2"/>
            <w:shd w:val="clear" w:color="auto" w:fill="auto"/>
            <w:vAlign w:val="center"/>
          </w:tcPr>
          <w:p w:rsidR="00773E2C" w:rsidRDefault="00805665">
            <w:pPr>
              <w:jc w:val="center"/>
              <w:rPr>
                <w:sz w:val="20"/>
                <w:szCs w:val="20"/>
              </w:rPr>
            </w:pPr>
            <w:r>
              <w:rPr>
                <w:sz w:val="20"/>
                <w:szCs w:val="20"/>
              </w:rPr>
              <w:t>14%</w:t>
            </w:r>
          </w:p>
        </w:tc>
        <w:tc>
          <w:tcPr>
            <w:tcW w:w="2280" w:type="dxa"/>
            <w:gridSpan w:val="2"/>
            <w:shd w:val="clear" w:color="auto" w:fill="auto"/>
            <w:vAlign w:val="center"/>
          </w:tcPr>
          <w:p w:rsidR="00773E2C" w:rsidRDefault="00805665">
            <w:pPr>
              <w:jc w:val="center"/>
              <w:rPr>
                <w:sz w:val="20"/>
                <w:szCs w:val="20"/>
              </w:rPr>
            </w:pPr>
            <w:r>
              <w:rPr>
                <w:sz w:val="20"/>
                <w:szCs w:val="20"/>
              </w:rPr>
              <w:t>10,76% </w:t>
            </w:r>
          </w:p>
        </w:tc>
        <w:tc>
          <w:tcPr>
            <w:tcW w:w="2280" w:type="dxa"/>
            <w:gridSpan w:val="2"/>
            <w:vAlign w:val="center"/>
          </w:tcPr>
          <w:p w:rsidR="00773E2C" w:rsidRDefault="00805665">
            <w:pPr>
              <w:jc w:val="center"/>
              <w:rPr>
                <w:sz w:val="20"/>
                <w:szCs w:val="20"/>
              </w:rPr>
            </w:pPr>
            <w:r>
              <w:rPr>
                <w:sz w:val="20"/>
                <w:szCs w:val="20"/>
              </w:rPr>
              <w:t>12,19%</w:t>
            </w:r>
          </w:p>
        </w:tc>
      </w:tr>
      <w:tr w:rsidR="00773E2C">
        <w:trPr>
          <w:trHeight w:val="283"/>
        </w:trPr>
        <w:tc>
          <w:tcPr>
            <w:tcW w:w="2977" w:type="dxa"/>
            <w:shd w:val="clear" w:color="auto" w:fill="auto"/>
            <w:vAlign w:val="center"/>
          </w:tcPr>
          <w:p w:rsidR="00773E2C" w:rsidRDefault="00805665">
            <w:pPr>
              <w:autoSpaceDE w:val="0"/>
              <w:autoSpaceDN w:val="0"/>
              <w:adjustRightInd w:val="0"/>
              <w:rPr>
                <w:bCs/>
                <w:sz w:val="20"/>
                <w:szCs w:val="20"/>
              </w:rPr>
            </w:pPr>
            <w:r>
              <w:rPr>
                <w:bCs/>
                <w:sz w:val="20"/>
                <w:szCs w:val="20"/>
              </w:rPr>
              <w:t>Активы, млрд руб.</w:t>
            </w:r>
          </w:p>
        </w:tc>
        <w:tc>
          <w:tcPr>
            <w:tcW w:w="1140" w:type="dxa"/>
            <w:shd w:val="clear" w:color="000000" w:fill="FFFFFF"/>
            <w:vAlign w:val="center"/>
          </w:tcPr>
          <w:p w:rsidR="00773E2C" w:rsidRDefault="00805665">
            <w:pPr>
              <w:jc w:val="center"/>
              <w:rPr>
                <w:sz w:val="20"/>
                <w:szCs w:val="20"/>
              </w:rPr>
            </w:pPr>
            <w:r>
              <w:rPr>
                <w:sz w:val="20"/>
                <w:szCs w:val="20"/>
              </w:rPr>
              <w:t>686,0</w:t>
            </w:r>
          </w:p>
        </w:tc>
        <w:tc>
          <w:tcPr>
            <w:tcW w:w="1140" w:type="dxa"/>
            <w:shd w:val="clear" w:color="000000" w:fill="FFFFFF"/>
            <w:vAlign w:val="center"/>
          </w:tcPr>
          <w:p w:rsidR="00773E2C" w:rsidRDefault="00805665">
            <w:pPr>
              <w:jc w:val="center"/>
              <w:rPr>
                <w:sz w:val="20"/>
                <w:szCs w:val="20"/>
              </w:rPr>
            </w:pPr>
            <w:r>
              <w:rPr>
                <w:sz w:val="20"/>
                <w:szCs w:val="20"/>
              </w:rPr>
              <w:t>-0,5%</w:t>
            </w:r>
          </w:p>
        </w:tc>
        <w:tc>
          <w:tcPr>
            <w:tcW w:w="1140" w:type="dxa"/>
            <w:shd w:val="clear" w:color="000000" w:fill="FFFFFF"/>
            <w:vAlign w:val="center"/>
          </w:tcPr>
          <w:p w:rsidR="00773E2C" w:rsidRDefault="00805665">
            <w:pPr>
              <w:jc w:val="center"/>
              <w:rPr>
                <w:sz w:val="20"/>
                <w:szCs w:val="20"/>
              </w:rPr>
            </w:pPr>
            <w:r>
              <w:rPr>
                <w:sz w:val="20"/>
                <w:szCs w:val="20"/>
              </w:rPr>
              <w:t>869,7</w:t>
            </w:r>
          </w:p>
        </w:tc>
        <w:tc>
          <w:tcPr>
            <w:tcW w:w="1140" w:type="dxa"/>
            <w:shd w:val="clear" w:color="000000" w:fill="FFFFFF"/>
            <w:vAlign w:val="center"/>
          </w:tcPr>
          <w:p w:rsidR="00773E2C" w:rsidRDefault="00805665">
            <w:pPr>
              <w:jc w:val="center"/>
              <w:rPr>
                <w:sz w:val="20"/>
                <w:szCs w:val="20"/>
              </w:rPr>
            </w:pPr>
            <w:r>
              <w:rPr>
                <w:sz w:val="20"/>
                <w:szCs w:val="20"/>
              </w:rPr>
              <w:t>26,8%</w:t>
            </w:r>
          </w:p>
        </w:tc>
        <w:tc>
          <w:tcPr>
            <w:tcW w:w="1140" w:type="dxa"/>
            <w:shd w:val="clear" w:color="000000" w:fill="FFFFFF"/>
            <w:vAlign w:val="center"/>
          </w:tcPr>
          <w:p w:rsidR="00773E2C" w:rsidRDefault="00805665">
            <w:pPr>
              <w:jc w:val="center"/>
              <w:rPr>
                <w:sz w:val="20"/>
                <w:szCs w:val="20"/>
              </w:rPr>
            </w:pPr>
            <w:r>
              <w:rPr>
                <w:sz w:val="20"/>
                <w:szCs w:val="20"/>
              </w:rPr>
              <w:t>790,4</w:t>
            </w:r>
          </w:p>
        </w:tc>
        <w:tc>
          <w:tcPr>
            <w:tcW w:w="1140" w:type="dxa"/>
            <w:shd w:val="clear" w:color="000000" w:fill="FFFFFF"/>
            <w:vAlign w:val="center"/>
          </w:tcPr>
          <w:p w:rsidR="00773E2C" w:rsidRDefault="00805665">
            <w:pPr>
              <w:jc w:val="center"/>
              <w:rPr>
                <w:sz w:val="20"/>
                <w:szCs w:val="20"/>
              </w:rPr>
            </w:pPr>
            <w:r>
              <w:rPr>
                <w:sz w:val="20"/>
                <w:szCs w:val="20"/>
              </w:rPr>
              <w:t>-9,1%</w:t>
            </w:r>
          </w:p>
        </w:tc>
      </w:tr>
      <w:tr w:rsidR="00773E2C">
        <w:trPr>
          <w:trHeight w:val="283"/>
        </w:trPr>
        <w:tc>
          <w:tcPr>
            <w:tcW w:w="2977" w:type="dxa"/>
            <w:shd w:val="clear" w:color="auto" w:fill="auto"/>
            <w:vAlign w:val="center"/>
          </w:tcPr>
          <w:p w:rsidR="00773E2C" w:rsidRDefault="00805665">
            <w:pPr>
              <w:autoSpaceDE w:val="0"/>
              <w:autoSpaceDN w:val="0"/>
              <w:adjustRightInd w:val="0"/>
              <w:rPr>
                <w:bCs/>
                <w:sz w:val="20"/>
                <w:szCs w:val="20"/>
              </w:rPr>
            </w:pPr>
            <w:r>
              <w:rPr>
                <w:bCs/>
                <w:sz w:val="20"/>
                <w:szCs w:val="20"/>
              </w:rPr>
              <w:t>Денежные средства, млрд руб.</w:t>
            </w:r>
          </w:p>
        </w:tc>
        <w:tc>
          <w:tcPr>
            <w:tcW w:w="1140" w:type="dxa"/>
            <w:shd w:val="clear" w:color="auto" w:fill="auto"/>
            <w:vAlign w:val="center"/>
          </w:tcPr>
          <w:p w:rsidR="00773E2C" w:rsidRDefault="00805665">
            <w:pPr>
              <w:jc w:val="center"/>
              <w:rPr>
                <w:sz w:val="20"/>
                <w:szCs w:val="20"/>
              </w:rPr>
            </w:pPr>
            <w:r>
              <w:rPr>
                <w:sz w:val="20"/>
                <w:szCs w:val="20"/>
              </w:rPr>
              <w:t>12,7</w:t>
            </w:r>
          </w:p>
        </w:tc>
        <w:tc>
          <w:tcPr>
            <w:tcW w:w="1140" w:type="dxa"/>
            <w:shd w:val="clear" w:color="auto" w:fill="auto"/>
            <w:vAlign w:val="center"/>
          </w:tcPr>
          <w:p w:rsidR="00773E2C" w:rsidRDefault="00805665">
            <w:pPr>
              <w:jc w:val="center"/>
              <w:rPr>
                <w:sz w:val="20"/>
                <w:szCs w:val="20"/>
              </w:rPr>
            </w:pPr>
            <w:r>
              <w:rPr>
                <w:sz w:val="20"/>
                <w:szCs w:val="20"/>
              </w:rPr>
              <w:t>-17,0%</w:t>
            </w:r>
          </w:p>
        </w:tc>
        <w:tc>
          <w:tcPr>
            <w:tcW w:w="1140" w:type="dxa"/>
            <w:vAlign w:val="center"/>
          </w:tcPr>
          <w:p w:rsidR="00773E2C" w:rsidRDefault="00805665">
            <w:pPr>
              <w:jc w:val="center"/>
              <w:rPr>
                <w:sz w:val="20"/>
                <w:szCs w:val="20"/>
              </w:rPr>
            </w:pPr>
            <w:r>
              <w:rPr>
                <w:sz w:val="20"/>
                <w:szCs w:val="20"/>
              </w:rPr>
              <w:t>15,1</w:t>
            </w:r>
          </w:p>
        </w:tc>
        <w:tc>
          <w:tcPr>
            <w:tcW w:w="1140" w:type="dxa"/>
            <w:vAlign w:val="center"/>
          </w:tcPr>
          <w:p w:rsidR="00773E2C" w:rsidRDefault="00805665">
            <w:pPr>
              <w:jc w:val="center"/>
              <w:rPr>
                <w:sz w:val="20"/>
                <w:szCs w:val="20"/>
              </w:rPr>
            </w:pPr>
            <w:r>
              <w:rPr>
                <w:sz w:val="20"/>
                <w:szCs w:val="20"/>
              </w:rPr>
              <w:t>18,9%</w:t>
            </w:r>
          </w:p>
        </w:tc>
        <w:tc>
          <w:tcPr>
            <w:tcW w:w="1140" w:type="dxa"/>
            <w:vAlign w:val="center"/>
          </w:tcPr>
          <w:p w:rsidR="00773E2C" w:rsidRDefault="00805665">
            <w:pPr>
              <w:jc w:val="center"/>
              <w:rPr>
                <w:sz w:val="20"/>
                <w:szCs w:val="20"/>
              </w:rPr>
            </w:pPr>
            <w:r>
              <w:rPr>
                <w:sz w:val="20"/>
                <w:szCs w:val="20"/>
              </w:rPr>
              <w:t>13,0</w:t>
            </w:r>
          </w:p>
        </w:tc>
        <w:tc>
          <w:tcPr>
            <w:tcW w:w="1140" w:type="dxa"/>
            <w:vAlign w:val="center"/>
          </w:tcPr>
          <w:p w:rsidR="00773E2C" w:rsidRDefault="00805665">
            <w:pPr>
              <w:jc w:val="center"/>
              <w:rPr>
                <w:sz w:val="20"/>
                <w:szCs w:val="20"/>
              </w:rPr>
            </w:pPr>
            <w:r>
              <w:rPr>
                <w:sz w:val="20"/>
                <w:szCs w:val="20"/>
              </w:rPr>
              <w:t>-13,9%</w:t>
            </w:r>
          </w:p>
        </w:tc>
      </w:tr>
      <w:tr w:rsidR="00773E2C">
        <w:tc>
          <w:tcPr>
            <w:tcW w:w="2977" w:type="dxa"/>
            <w:shd w:val="clear" w:color="auto" w:fill="auto"/>
            <w:vAlign w:val="center"/>
          </w:tcPr>
          <w:p w:rsidR="00773E2C" w:rsidRDefault="00805665">
            <w:pPr>
              <w:autoSpaceDE w:val="0"/>
              <w:autoSpaceDN w:val="0"/>
              <w:adjustRightInd w:val="0"/>
              <w:rPr>
                <w:bCs/>
                <w:sz w:val="20"/>
                <w:szCs w:val="20"/>
              </w:rPr>
            </w:pPr>
            <w:r>
              <w:rPr>
                <w:bCs/>
                <w:sz w:val="20"/>
                <w:szCs w:val="20"/>
              </w:rPr>
              <w:t xml:space="preserve">Чистая ссудная задолженность, </w:t>
            </w:r>
          </w:p>
          <w:p w:rsidR="00773E2C" w:rsidRDefault="00805665">
            <w:pPr>
              <w:autoSpaceDE w:val="0"/>
              <w:autoSpaceDN w:val="0"/>
              <w:adjustRightInd w:val="0"/>
              <w:rPr>
                <w:bCs/>
                <w:sz w:val="20"/>
                <w:szCs w:val="20"/>
              </w:rPr>
            </w:pPr>
            <w:r>
              <w:rPr>
                <w:bCs/>
                <w:sz w:val="20"/>
                <w:szCs w:val="20"/>
              </w:rPr>
              <w:t>млрд руб., из них:</w:t>
            </w:r>
          </w:p>
        </w:tc>
        <w:tc>
          <w:tcPr>
            <w:tcW w:w="1140" w:type="dxa"/>
            <w:shd w:val="clear" w:color="000000" w:fill="FFFFFF"/>
            <w:vAlign w:val="center"/>
          </w:tcPr>
          <w:p w:rsidR="00773E2C" w:rsidRDefault="00805665">
            <w:pPr>
              <w:jc w:val="center"/>
              <w:rPr>
                <w:sz w:val="20"/>
                <w:szCs w:val="20"/>
              </w:rPr>
            </w:pPr>
            <w:r>
              <w:rPr>
                <w:sz w:val="20"/>
                <w:szCs w:val="20"/>
              </w:rPr>
              <w:t>441,9</w:t>
            </w:r>
          </w:p>
        </w:tc>
        <w:tc>
          <w:tcPr>
            <w:tcW w:w="1140" w:type="dxa"/>
            <w:shd w:val="clear" w:color="000000" w:fill="FFFFFF"/>
            <w:vAlign w:val="center"/>
          </w:tcPr>
          <w:p w:rsidR="00773E2C" w:rsidRDefault="00805665">
            <w:pPr>
              <w:jc w:val="center"/>
              <w:rPr>
                <w:sz w:val="20"/>
                <w:szCs w:val="20"/>
              </w:rPr>
            </w:pPr>
            <w:r>
              <w:rPr>
                <w:sz w:val="20"/>
                <w:szCs w:val="20"/>
              </w:rPr>
              <w:t>-5,4%</w:t>
            </w:r>
          </w:p>
        </w:tc>
        <w:tc>
          <w:tcPr>
            <w:tcW w:w="1140" w:type="dxa"/>
            <w:shd w:val="clear" w:color="000000" w:fill="FFFFFF"/>
            <w:vAlign w:val="center"/>
          </w:tcPr>
          <w:p w:rsidR="00773E2C" w:rsidRDefault="00805665">
            <w:pPr>
              <w:jc w:val="center"/>
              <w:rPr>
                <w:sz w:val="20"/>
                <w:szCs w:val="20"/>
              </w:rPr>
            </w:pPr>
            <w:r>
              <w:rPr>
                <w:sz w:val="20"/>
                <w:szCs w:val="20"/>
              </w:rPr>
              <w:t>577,5</w:t>
            </w:r>
          </w:p>
        </w:tc>
        <w:tc>
          <w:tcPr>
            <w:tcW w:w="1140" w:type="dxa"/>
            <w:shd w:val="clear" w:color="000000" w:fill="FFFFFF"/>
            <w:vAlign w:val="center"/>
          </w:tcPr>
          <w:p w:rsidR="00773E2C" w:rsidRDefault="00805665">
            <w:pPr>
              <w:jc w:val="center"/>
              <w:rPr>
                <w:sz w:val="20"/>
                <w:szCs w:val="20"/>
              </w:rPr>
            </w:pPr>
            <w:r>
              <w:rPr>
                <w:sz w:val="20"/>
                <w:szCs w:val="20"/>
              </w:rPr>
              <w:t>30,7%</w:t>
            </w:r>
          </w:p>
        </w:tc>
        <w:tc>
          <w:tcPr>
            <w:tcW w:w="1140" w:type="dxa"/>
            <w:shd w:val="clear" w:color="000000" w:fill="FFFFFF"/>
            <w:vAlign w:val="center"/>
          </w:tcPr>
          <w:p w:rsidR="00773E2C" w:rsidRDefault="00805665">
            <w:pPr>
              <w:jc w:val="center"/>
              <w:rPr>
                <w:sz w:val="20"/>
                <w:szCs w:val="20"/>
              </w:rPr>
            </w:pPr>
            <w:r>
              <w:rPr>
                <w:sz w:val="20"/>
                <w:szCs w:val="20"/>
              </w:rPr>
              <w:t>531,1</w:t>
            </w:r>
          </w:p>
        </w:tc>
        <w:tc>
          <w:tcPr>
            <w:tcW w:w="1140" w:type="dxa"/>
            <w:shd w:val="clear" w:color="000000" w:fill="FFFFFF"/>
            <w:vAlign w:val="center"/>
          </w:tcPr>
          <w:p w:rsidR="00773E2C" w:rsidRDefault="00805665">
            <w:pPr>
              <w:jc w:val="center"/>
              <w:rPr>
                <w:sz w:val="20"/>
                <w:szCs w:val="20"/>
              </w:rPr>
            </w:pPr>
            <w:r>
              <w:rPr>
                <w:sz w:val="20"/>
                <w:szCs w:val="20"/>
              </w:rPr>
              <w:t>-8,0%</w:t>
            </w:r>
          </w:p>
        </w:tc>
      </w:tr>
      <w:tr w:rsidR="00773E2C">
        <w:trPr>
          <w:trHeight w:val="283"/>
        </w:trPr>
        <w:tc>
          <w:tcPr>
            <w:tcW w:w="2977" w:type="dxa"/>
            <w:shd w:val="clear" w:color="auto" w:fill="auto"/>
            <w:vAlign w:val="center"/>
          </w:tcPr>
          <w:p w:rsidR="00773E2C" w:rsidRDefault="00805665">
            <w:pPr>
              <w:autoSpaceDE w:val="0"/>
              <w:autoSpaceDN w:val="0"/>
              <w:adjustRightInd w:val="0"/>
              <w:rPr>
                <w:bCs/>
                <w:sz w:val="20"/>
                <w:szCs w:val="20"/>
              </w:rPr>
            </w:pPr>
            <w:r>
              <w:rPr>
                <w:bCs/>
                <w:sz w:val="20"/>
                <w:szCs w:val="20"/>
              </w:rPr>
              <w:t>- ссуды корпоративным клиентам</w:t>
            </w:r>
          </w:p>
        </w:tc>
        <w:tc>
          <w:tcPr>
            <w:tcW w:w="1140" w:type="dxa"/>
            <w:shd w:val="clear" w:color="auto" w:fill="auto"/>
            <w:vAlign w:val="center"/>
          </w:tcPr>
          <w:p w:rsidR="00773E2C" w:rsidRDefault="00805665">
            <w:pPr>
              <w:jc w:val="center"/>
              <w:rPr>
                <w:iCs/>
                <w:sz w:val="20"/>
                <w:szCs w:val="20"/>
              </w:rPr>
            </w:pPr>
            <w:r>
              <w:rPr>
                <w:iCs/>
                <w:sz w:val="20"/>
                <w:szCs w:val="20"/>
              </w:rPr>
              <w:t>99,0</w:t>
            </w:r>
          </w:p>
        </w:tc>
        <w:tc>
          <w:tcPr>
            <w:tcW w:w="1140" w:type="dxa"/>
            <w:shd w:val="clear" w:color="auto" w:fill="auto"/>
            <w:vAlign w:val="center"/>
          </w:tcPr>
          <w:p w:rsidR="00773E2C" w:rsidRDefault="00805665">
            <w:pPr>
              <w:jc w:val="center"/>
              <w:rPr>
                <w:iCs/>
                <w:sz w:val="20"/>
                <w:szCs w:val="20"/>
              </w:rPr>
            </w:pPr>
            <w:r>
              <w:rPr>
                <w:iCs/>
                <w:sz w:val="20"/>
                <w:szCs w:val="20"/>
              </w:rPr>
              <w:t>17,6%</w:t>
            </w:r>
          </w:p>
        </w:tc>
        <w:tc>
          <w:tcPr>
            <w:tcW w:w="1140" w:type="dxa"/>
            <w:vAlign w:val="center"/>
          </w:tcPr>
          <w:p w:rsidR="00773E2C" w:rsidRDefault="00805665">
            <w:pPr>
              <w:jc w:val="center"/>
              <w:rPr>
                <w:iCs/>
                <w:sz w:val="20"/>
                <w:szCs w:val="20"/>
              </w:rPr>
            </w:pPr>
            <w:r>
              <w:rPr>
                <w:iCs/>
                <w:sz w:val="20"/>
                <w:szCs w:val="20"/>
              </w:rPr>
              <w:t>132,9</w:t>
            </w:r>
          </w:p>
        </w:tc>
        <w:tc>
          <w:tcPr>
            <w:tcW w:w="1140" w:type="dxa"/>
            <w:vAlign w:val="center"/>
          </w:tcPr>
          <w:p w:rsidR="00773E2C" w:rsidRDefault="00805665">
            <w:pPr>
              <w:jc w:val="center"/>
              <w:rPr>
                <w:iCs/>
                <w:sz w:val="20"/>
                <w:szCs w:val="20"/>
              </w:rPr>
            </w:pPr>
            <w:r>
              <w:rPr>
                <w:iCs/>
                <w:sz w:val="20"/>
                <w:szCs w:val="20"/>
              </w:rPr>
              <w:t>34,2%</w:t>
            </w:r>
          </w:p>
        </w:tc>
        <w:tc>
          <w:tcPr>
            <w:tcW w:w="1140" w:type="dxa"/>
            <w:vAlign w:val="center"/>
          </w:tcPr>
          <w:p w:rsidR="00773E2C" w:rsidRDefault="00805665">
            <w:pPr>
              <w:jc w:val="center"/>
              <w:rPr>
                <w:iCs/>
                <w:sz w:val="20"/>
                <w:szCs w:val="20"/>
              </w:rPr>
            </w:pPr>
            <w:r>
              <w:rPr>
                <w:iCs/>
                <w:sz w:val="20"/>
                <w:szCs w:val="20"/>
              </w:rPr>
              <w:t>130,5</w:t>
            </w:r>
          </w:p>
        </w:tc>
        <w:tc>
          <w:tcPr>
            <w:tcW w:w="1140" w:type="dxa"/>
            <w:vAlign w:val="center"/>
          </w:tcPr>
          <w:p w:rsidR="00773E2C" w:rsidRDefault="00805665">
            <w:pPr>
              <w:jc w:val="center"/>
              <w:rPr>
                <w:iCs/>
                <w:sz w:val="20"/>
                <w:szCs w:val="20"/>
              </w:rPr>
            </w:pPr>
            <w:r>
              <w:rPr>
                <w:iCs/>
                <w:sz w:val="20"/>
                <w:szCs w:val="20"/>
              </w:rPr>
              <w:t>-1,8%</w:t>
            </w:r>
          </w:p>
        </w:tc>
      </w:tr>
      <w:tr w:rsidR="00773E2C">
        <w:trPr>
          <w:trHeight w:val="283"/>
        </w:trPr>
        <w:tc>
          <w:tcPr>
            <w:tcW w:w="2977" w:type="dxa"/>
            <w:shd w:val="clear" w:color="auto" w:fill="auto"/>
            <w:vAlign w:val="center"/>
          </w:tcPr>
          <w:p w:rsidR="00773E2C" w:rsidRDefault="00805665">
            <w:pPr>
              <w:autoSpaceDE w:val="0"/>
              <w:autoSpaceDN w:val="0"/>
              <w:adjustRightInd w:val="0"/>
              <w:rPr>
                <w:bCs/>
                <w:sz w:val="20"/>
                <w:szCs w:val="20"/>
              </w:rPr>
            </w:pPr>
            <w:r>
              <w:rPr>
                <w:bCs/>
                <w:sz w:val="20"/>
                <w:szCs w:val="20"/>
              </w:rPr>
              <w:t>- ссуды физическим лицам</w:t>
            </w:r>
          </w:p>
        </w:tc>
        <w:tc>
          <w:tcPr>
            <w:tcW w:w="1140" w:type="dxa"/>
            <w:shd w:val="clear" w:color="auto" w:fill="auto"/>
          </w:tcPr>
          <w:p w:rsidR="00773E2C" w:rsidRDefault="00805665">
            <w:pPr>
              <w:jc w:val="center"/>
              <w:rPr>
                <w:iCs/>
                <w:sz w:val="20"/>
                <w:szCs w:val="20"/>
              </w:rPr>
            </w:pPr>
            <w:r>
              <w:rPr>
                <w:iCs/>
                <w:sz w:val="20"/>
                <w:szCs w:val="20"/>
              </w:rPr>
              <w:t>261,0</w:t>
            </w:r>
          </w:p>
        </w:tc>
        <w:tc>
          <w:tcPr>
            <w:tcW w:w="1140" w:type="dxa"/>
            <w:shd w:val="clear" w:color="auto" w:fill="auto"/>
          </w:tcPr>
          <w:p w:rsidR="00773E2C" w:rsidRDefault="00805665">
            <w:pPr>
              <w:jc w:val="center"/>
              <w:rPr>
                <w:iCs/>
                <w:sz w:val="20"/>
                <w:szCs w:val="20"/>
              </w:rPr>
            </w:pPr>
            <w:r>
              <w:rPr>
                <w:iCs/>
                <w:sz w:val="20"/>
                <w:szCs w:val="20"/>
              </w:rPr>
              <w:t>14,6%</w:t>
            </w:r>
          </w:p>
        </w:tc>
        <w:tc>
          <w:tcPr>
            <w:tcW w:w="1140" w:type="dxa"/>
          </w:tcPr>
          <w:p w:rsidR="00773E2C" w:rsidRDefault="00805665">
            <w:pPr>
              <w:jc w:val="center"/>
              <w:rPr>
                <w:iCs/>
                <w:sz w:val="20"/>
                <w:szCs w:val="20"/>
              </w:rPr>
            </w:pPr>
            <w:r>
              <w:rPr>
                <w:iCs/>
                <w:sz w:val="20"/>
                <w:szCs w:val="20"/>
              </w:rPr>
              <w:t>302,0</w:t>
            </w:r>
          </w:p>
        </w:tc>
        <w:tc>
          <w:tcPr>
            <w:tcW w:w="1140" w:type="dxa"/>
          </w:tcPr>
          <w:p w:rsidR="00773E2C" w:rsidRDefault="00805665">
            <w:pPr>
              <w:jc w:val="center"/>
              <w:rPr>
                <w:iCs/>
                <w:sz w:val="20"/>
                <w:szCs w:val="20"/>
              </w:rPr>
            </w:pPr>
            <w:r>
              <w:rPr>
                <w:iCs/>
                <w:sz w:val="20"/>
                <w:szCs w:val="20"/>
              </w:rPr>
              <w:t>15,7%</w:t>
            </w:r>
          </w:p>
        </w:tc>
        <w:tc>
          <w:tcPr>
            <w:tcW w:w="1140" w:type="dxa"/>
          </w:tcPr>
          <w:p w:rsidR="00773E2C" w:rsidRDefault="00805665">
            <w:pPr>
              <w:jc w:val="center"/>
              <w:rPr>
                <w:iCs/>
                <w:sz w:val="20"/>
                <w:szCs w:val="20"/>
              </w:rPr>
            </w:pPr>
            <w:r>
              <w:rPr>
                <w:iCs/>
                <w:sz w:val="20"/>
                <w:szCs w:val="20"/>
              </w:rPr>
              <w:t>334,5</w:t>
            </w:r>
          </w:p>
        </w:tc>
        <w:tc>
          <w:tcPr>
            <w:tcW w:w="1140" w:type="dxa"/>
          </w:tcPr>
          <w:p w:rsidR="00773E2C" w:rsidRDefault="00805665">
            <w:pPr>
              <w:jc w:val="center"/>
              <w:rPr>
                <w:iCs/>
                <w:sz w:val="20"/>
                <w:szCs w:val="20"/>
              </w:rPr>
            </w:pPr>
            <w:r>
              <w:rPr>
                <w:iCs/>
                <w:sz w:val="20"/>
                <w:szCs w:val="20"/>
              </w:rPr>
              <w:t>10,8%</w:t>
            </w:r>
          </w:p>
        </w:tc>
      </w:tr>
      <w:tr w:rsidR="00773E2C">
        <w:trPr>
          <w:trHeight w:val="283"/>
        </w:trPr>
        <w:tc>
          <w:tcPr>
            <w:tcW w:w="2977" w:type="dxa"/>
            <w:shd w:val="clear" w:color="auto" w:fill="auto"/>
            <w:vAlign w:val="center"/>
          </w:tcPr>
          <w:p w:rsidR="00773E2C" w:rsidRDefault="00805665">
            <w:pPr>
              <w:autoSpaceDE w:val="0"/>
              <w:autoSpaceDN w:val="0"/>
              <w:adjustRightInd w:val="0"/>
              <w:rPr>
                <w:bCs/>
                <w:sz w:val="20"/>
                <w:szCs w:val="20"/>
              </w:rPr>
            </w:pPr>
            <w:r>
              <w:rPr>
                <w:bCs/>
                <w:sz w:val="20"/>
                <w:szCs w:val="20"/>
              </w:rPr>
              <w:t>- ссуды кредитным организациям</w:t>
            </w:r>
          </w:p>
        </w:tc>
        <w:tc>
          <w:tcPr>
            <w:tcW w:w="1140" w:type="dxa"/>
            <w:shd w:val="clear" w:color="auto" w:fill="auto"/>
            <w:vAlign w:val="center"/>
          </w:tcPr>
          <w:p w:rsidR="00773E2C" w:rsidRDefault="00805665">
            <w:pPr>
              <w:jc w:val="center"/>
              <w:rPr>
                <w:iCs/>
                <w:sz w:val="20"/>
                <w:szCs w:val="20"/>
              </w:rPr>
            </w:pPr>
            <w:r>
              <w:rPr>
                <w:iCs/>
                <w:sz w:val="20"/>
                <w:szCs w:val="20"/>
              </w:rPr>
              <w:t>57,6</w:t>
            </w:r>
          </w:p>
        </w:tc>
        <w:tc>
          <w:tcPr>
            <w:tcW w:w="1140" w:type="dxa"/>
            <w:shd w:val="clear" w:color="auto" w:fill="auto"/>
            <w:vAlign w:val="center"/>
          </w:tcPr>
          <w:p w:rsidR="00773E2C" w:rsidRDefault="00805665">
            <w:pPr>
              <w:jc w:val="center"/>
              <w:rPr>
                <w:iCs/>
                <w:sz w:val="20"/>
                <w:szCs w:val="20"/>
              </w:rPr>
            </w:pPr>
            <w:r>
              <w:rPr>
                <w:iCs/>
                <w:sz w:val="20"/>
                <w:szCs w:val="20"/>
              </w:rPr>
              <w:t>90,0%</w:t>
            </w:r>
          </w:p>
        </w:tc>
        <w:tc>
          <w:tcPr>
            <w:tcW w:w="1140" w:type="dxa"/>
            <w:vAlign w:val="center"/>
          </w:tcPr>
          <w:p w:rsidR="00773E2C" w:rsidRDefault="00805665">
            <w:pPr>
              <w:jc w:val="center"/>
              <w:rPr>
                <w:iCs/>
                <w:sz w:val="20"/>
                <w:szCs w:val="20"/>
              </w:rPr>
            </w:pPr>
            <w:r>
              <w:rPr>
                <w:iCs/>
                <w:sz w:val="20"/>
                <w:szCs w:val="20"/>
              </w:rPr>
              <w:t>35,7</w:t>
            </w:r>
          </w:p>
        </w:tc>
        <w:tc>
          <w:tcPr>
            <w:tcW w:w="1140" w:type="dxa"/>
            <w:vAlign w:val="center"/>
          </w:tcPr>
          <w:p w:rsidR="00773E2C" w:rsidRDefault="00805665">
            <w:pPr>
              <w:jc w:val="center"/>
              <w:rPr>
                <w:iCs/>
                <w:sz w:val="20"/>
                <w:szCs w:val="20"/>
              </w:rPr>
            </w:pPr>
            <w:r>
              <w:rPr>
                <w:iCs/>
                <w:sz w:val="20"/>
                <w:szCs w:val="20"/>
              </w:rPr>
              <w:t>-38,0%</w:t>
            </w:r>
          </w:p>
        </w:tc>
        <w:tc>
          <w:tcPr>
            <w:tcW w:w="1140" w:type="dxa"/>
            <w:vAlign w:val="center"/>
          </w:tcPr>
          <w:p w:rsidR="00773E2C" w:rsidRDefault="00805665">
            <w:pPr>
              <w:jc w:val="center"/>
              <w:rPr>
                <w:iCs/>
                <w:sz w:val="20"/>
                <w:szCs w:val="20"/>
              </w:rPr>
            </w:pPr>
            <w:r>
              <w:rPr>
                <w:iCs/>
                <w:sz w:val="20"/>
                <w:szCs w:val="20"/>
              </w:rPr>
              <w:t>10,8</w:t>
            </w:r>
          </w:p>
        </w:tc>
        <w:tc>
          <w:tcPr>
            <w:tcW w:w="1140" w:type="dxa"/>
            <w:vAlign w:val="center"/>
          </w:tcPr>
          <w:p w:rsidR="00773E2C" w:rsidRDefault="00805665">
            <w:pPr>
              <w:jc w:val="center"/>
              <w:rPr>
                <w:iCs/>
                <w:sz w:val="20"/>
                <w:szCs w:val="20"/>
              </w:rPr>
            </w:pPr>
            <w:r>
              <w:rPr>
                <w:iCs/>
                <w:sz w:val="20"/>
                <w:szCs w:val="20"/>
              </w:rPr>
              <w:t>-69,7%</w:t>
            </w:r>
          </w:p>
        </w:tc>
      </w:tr>
      <w:tr w:rsidR="00773E2C">
        <w:tc>
          <w:tcPr>
            <w:tcW w:w="2977" w:type="dxa"/>
            <w:shd w:val="clear" w:color="auto" w:fill="auto"/>
            <w:vAlign w:val="center"/>
          </w:tcPr>
          <w:p w:rsidR="00773E2C" w:rsidRDefault="00805665">
            <w:pPr>
              <w:autoSpaceDE w:val="0"/>
              <w:autoSpaceDN w:val="0"/>
              <w:adjustRightInd w:val="0"/>
              <w:rPr>
                <w:bCs/>
                <w:sz w:val="20"/>
                <w:szCs w:val="20"/>
              </w:rPr>
            </w:pPr>
            <w:r>
              <w:rPr>
                <w:bCs/>
                <w:sz w:val="20"/>
                <w:szCs w:val="20"/>
              </w:rPr>
              <w:t xml:space="preserve">Чистые вложения в финансовые активы, оцениваемых по справедливой стоимости через </w:t>
            </w:r>
            <w:r>
              <w:rPr>
                <w:bCs/>
                <w:sz w:val="20"/>
                <w:szCs w:val="20"/>
              </w:rPr>
              <w:lastRenderedPageBreak/>
              <w:t>прочий совокупный доход, млрд руб.</w:t>
            </w:r>
          </w:p>
        </w:tc>
        <w:tc>
          <w:tcPr>
            <w:tcW w:w="1140" w:type="dxa"/>
            <w:shd w:val="clear" w:color="auto" w:fill="auto"/>
            <w:vAlign w:val="center"/>
          </w:tcPr>
          <w:p w:rsidR="00773E2C" w:rsidRDefault="00805665">
            <w:pPr>
              <w:jc w:val="center"/>
              <w:rPr>
                <w:sz w:val="20"/>
                <w:szCs w:val="20"/>
              </w:rPr>
            </w:pPr>
            <w:r>
              <w:rPr>
                <w:sz w:val="20"/>
                <w:szCs w:val="20"/>
              </w:rPr>
              <w:lastRenderedPageBreak/>
              <w:t>24,3</w:t>
            </w:r>
          </w:p>
        </w:tc>
        <w:tc>
          <w:tcPr>
            <w:tcW w:w="1140" w:type="dxa"/>
            <w:shd w:val="clear" w:color="auto" w:fill="auto"/>
            <w:vAlign w:val="center"/>
          </w:tcPr>
          <w:p w:rsidR="00773E2C" w:rsidRDefault="00805665">
            <w:pPr>
              <w:jc w:val="center"/>
              <w:rPr>
                <w:sz w:val="20"/>
                <w:szCs w:val="20"/>
              </w:rPr>
            </w:pPr>
            <w:r>
              <w:rPr>
                <w:sz w:val="20"/>
                <w:szCs w:val="20"/>
              </w:rPr>
              <w:t>-0,4%</w:t>
            </w:r>
          </w:p>
        </w:tc>
        <w:tc>
          <w:tcPr>
            <w:tcW w:w="1140" w:type="dxa"/>
            <w:vAlign w:val="center"/>
          </w:tcPr>
          <w:p w:rsidR="00773E2C" w:rsidRDefault="00805665">
            <w:pPr>
              <w:jc w:val="center"/>
              <w:rPr>
                <w:sz w:val="20"/>
                <w:szCs w:val="20"/>
              </w:rPr>
            </w:pPr>
            <w:r>
              <w:rPr>
                <w:sz w:val="20"/>
                <w:szCs w:val="20"/>
              </w:rPr>
              <w:t>10,0</w:t>
            </w:r>
          </w:p>
        </w:tc>
        <w:tc>
          <w:tcPr>
            <w:tcW w:w="1140" w:type="dxa"/>
            <w:vAlign w:val="center"/>
          </w:tcPr>
          <w:p w:rsidR="00773E2C" w:rsidRDefault="00805665">
            <w:pPr>
              <w:jc w:val="center"/>
              <w:rPr>
                <w:sz w:val="20"/>
                <w:szCs w:val="20"/>
              </w:rPr>
            </w:pPr>
            <w:r>
              <w:rPr>
                <w:sz w:val="20"/>
                <w:szCs w:val="20"/>
              </w:rPr>
              <w:t>-58,8%</w:t>
            </w:r>
          </w:p>
        </w:tc>
        <w:tc>
          <w:tcPr>
            <w:tcW w:w="1140" w:type="dxa"/>
            <w:vAlign w:val="center"/>
          </w:tcPr>
          <w:p w:rsidR="00773E2C" w:rsidRDefault="00805665">
            <w:pPr>
              <w:jc w:val="center"/>
              <w:rPr>
                <w:sz w:val="20"/>
                <w:szCs w:val="20"/>
              </w:rPr>
            </w:pPr>
            <w:r>
              <w:rPr>
                <w:sz w:val="20"/>
                <w:szCs w:val="20"/>
              </w:rPr>
              <w:t>2,6</w:t>
            </w:r>
          </w:p>
        </w:tc>
        <w:tc>
          <w:tcPr>
            <w:tcW w:w="1140" w:type="dxa"/>
            <w:vAlign w:val="center"/>
          </w:tcPr>
          <w:p w:rsidR="00773E2C" w:rsidRDefault="00805665">
            <w:pPr>
              <w:jc w:val="center"/>
              <w:rPr>
                <w:sz w:val="20"/>
                <w:szCs w:val="20"/>
              </w:rPr>
            </w:pPr>
            <w:r>
              <w:rPr>
                <w:sz w:val="20"/>
                <w:szCs w:val="20"/>
              </w:rPr>
              <w:t>-74,0%</w:t>
            </w:r>
          </w:p>
        </w:tc>
      </w:tr>
      <w:tr w:rsidR="00773E2C">
        <w:tc>
          <w:tcPr>
            <w:tcW w:w="2977" w:type="dxa"/>
            <w:shd w:val="clear" w:color="auto" w:fill="auto"/>
            <w:vAlign w:val="center"/>
          </w:tcPr>
          <w:p w:rsidR="00773E2C" w:rsidRDefault="00805665">
            <w:pPr>
              <w:autoSpaceDE w:val="0"/>
              <w:autoSpaceDN w:val="0"/>
              <w:adjustRightInd w:val="0"/>
              <w:rPr>
                <w:bCs/>
                <w:sz w:val="20"/>
                <w:szCs w:val="20"/>
              </w:rPr>
            </w:pPr>
            <w:r>
              <w:rPr>
                <w:bCs/>
                <w:sz w:val="20"/>
                <w:szCs w:val="20"/>
              </w:rPr>
              <w:t>Привлеченные средства, млрд руб., из них:</w:t>
            </w:r>
          </w:p>
        </w:tc>
        <w:tc>
          <w:tcPr>
            <w:tcW w:w="1140" w:type="dxa"/>
            <w:shd w:val="clear" w:color="auto" w:fill="auto"/>
            <w:vAlign w:val="center"/>
          </w:tcPr>
          <w:p w:rsidR="00773E2C" w:rsidRDefault="00805665">
            <w:pPr>
              <w:jc w:val="center"/>
              <w:rPr>
                <w:sz w:val="20"/>
                <w:szCs w:val="20"/>
              </w:rPr>
            </w:pPr>
            <w:r>
              <w:rPr>
                <w:sz w:val="20"/>
                <w:szCs w:val="20"/>
              </w:rPr>
              <w:t>585,1</w:t>
            </w:r>
          </w:p>
        </w:tc>
        <w:tc>
          <w:tcPr>
            <w:tcW w:w="1140" w:type="dxa"/>
            <w:shd w:val="clear" w:color="auto" w:fill="auto"/>
            <w:vAlign w:val="center"/>
          </w:tcPr>
          <w:p w:rsidR="00773E2C" w:rsidRDefault="00805665">
            <w:pPr>
              <w:jc w:val="center"/>
              <w:rPr>
                <w:sz w:val="20"/>
                <w:szCs w:val="20"/>
              </w:rPr>
            </w:pPr>
            <w:r>
              <w:rPr>
                <w:sz w:val="20"/>
                <w:szCs w:val="20"/>
              </w:rPr>
              <w:t>-2,5%</w:t>
            </w:r>
          </w:p>
        </w:tc>
        <w:tc>
          <w:tcPr>
            <w:tcW w:w="1140" w:type="dxa"/>
            <w:vAlign w:val="center"/>
          </w:tcPr>
          <w:p w:rsidR="00773E2C" w:rsidRDefault="00805665">
            <w:pPr>
              <w:jc w:val="center"/>
              <w:rPr>
                <w:sz w:val="20"/>
                <w:szCs w:val="20"/>
              </w:rPr>
            </w:pPr>
            <w:r>
              <w:rPr>
                <w:sz w:val="20"/>
                <w:szCs w:val="20"/>
              </w:rPr>
              <w:t>767,0</w:t>
            </w:r>
          </w:p>
        </w:tc>
        <w:tc>
          <w:tcPr>
            <w:tcW w:w="1140" w:type="dxa"/>
            <w:vAlign w:val="center"/>
          </w:tcPr>
          <w:p w:rsidR="00773E2C" w:rsidRDefault="00805665">
            <w:pPr>
              <w:jc w:val="center"/>
              <w:rPr>
                <w:sz w:val="20"/>
                <w:szCs w:val="20"/>
              </w:rPr>
            </w:pPr>
            <w:r>
              <w:rPr>
                <w:sz w:val="20"/>
                <w:szCs w:val="20"/>
              </w:rPr>
              <w:t>31,1%</w:t>
            </w:r>
          </w:p>
        </w:tc>
        <w:tc>
          <w:tcPr>
            <w:tcW w:w="1140" w:type="dxa"/>
            <w:vAlign w:val="center"/>
          </w:tcPr>
          <w:p w:rsidR="00773E2C" w:rsidRDefault="00805665">
            <w:pPr>
              <w:jc w:val="center"/>
              <w:rPr>
                <w:sz w:val="20"/>
                <w:szCs w:val="20"/>
              </w:rPr>
            </w:pPr>
            <w:r>
              <w:rPr>
                <w:sz w:val="20"/>
                <w:szCs w:val="20"/>
              </w:rPr>
              <w:t>676,0</w:t>
            </w:r>
          </w:p>
        </w:tc>
        <w:tc>
          <w:tcPr>
            <w:tcW w:w="1140" w:type="dxa"/>
            <w:vAlign w:val="center"/>
          </w:tcPr>
          <w:p w:rsidR="00773E2C" w:rsidRDefault="00805665">
            <w:pPr>
              <w:jc w:val="center"/>
              <w:rPr>
                <w:sz w:val="20"/>
                <w:szCs w:val="20"/>
              </w:rPr>
            </w:pPr>
            <w:r>
              <w:rPr>
                <w:sz w:val="20"/>
                <w:szCs w:val="20"/>
              </w:rPr>
              <w:t>-11,9%</w:t>
            </w:r>
          </w:p>
        </w:tc>
      </w:tr>
      <w:tr w:rsidR="00773E2C">
        <w:trPr>
          <w:trHeight w:val="283"/>
        </w:trPr>
        <w:tc>
          <w:tcPr>
            <w:tcW w:w="2977" w:type="dxa"/>
            <w:shd w:val="clear" w:color="auto" w:fill="auto"/>
            <w:vAlign w:val="center"/>
          </w:tcPr>
          <w:p w:rsidR="00773E2C" w:rsidRDefault="00805665">
            <w:pPr>
              <w:autoSpaceDE w:val="0"/>
              <w:autoSpaceDN w:val="0"/>
              <w:adjustRightInd w:val="0"/>
              <w:rPr>
                <w:bCs/>
                <w:sz w:val="20"/>
                <w:szCs w:val="20"/>
              </w:rPr>
            </w:pPr>
            <w:r>
              <w:rPr>
                <w:bCs/>
                <w:sz w:val="20"/>
                <w:szCs w:val="20"/>
              </w:rPr>
              <w:t>- средства кредитных организаций</w:t>
            </w:r>
          </w:p>
        </w:tc>
        <w:tc>
          <w:tcPr>
            <w:tcW w:w="1140" w:type="dxa"/>
            <w:shd w:val="clear" w:color="auto" w:fill="auto"/>
            <w:vAlign w:val="center"/>
          </w:tcPr>
          <w:p w:rsidR="00773E2C" w:rsidRDefault="00805665">
            <w:pPr>
              <w:jc w:val="center"/>
              <w:rPr>
                <w:iCs/>
                <w:sz w:val="20"/>
                <w:szCs w:val="20"/>
              </w:rPr>
            </w:pPr>
            <w:r>
              <w:rPr>
                <w:iCs/>
                <w:sz w:val="20"/>
                <w:szCs w:val="20"/>
              </w:rPr>
              <w:t>27,1</w:t>
            </w:r>
          </w:p>
        </w:tc>
        <w:tc>
          <w:tcPr>
            <w:tcW w:w="1140" w:type="dxa"/>
            <w:shd w:val="clear" w:color="auto" w:fill="auto"/>
            <w:vAlign w:val="center"/>
          </w:tcPr>
          <w:p w:rsidR="00773E2C" w:rsidRDefault="00805665">
            <w:pPr>
              <w:jc w:val="center"/>
              <w:rPr>
                <w:iCs/>
                <w:sz w:val="20"/>
                <w:szCs w:val="20"/>
              </w:rPr>
            </w:pPr>
            <w:r>
              <w:rPr>
                <w:iCs/>
                <w:sz w:val="20"/>
                <w:szCs w:val="20"/>
              </w:rPr>
              <w:t>344,3%</w:t>
            </w:r>
          </w:p>
        </w:tc>
        <w:tc>
          <w:tcPr>
            <w:tcW w:w="1140" w:type="dxa"/>
            <w:vAlign w:val="center"/>
          </w:tcPr>
          <w:p w:rsidR="00773E2C" w:rsidRDefault="00805665">
            <w:pPr>
              <w:jc w:val="center"/>
              <w:rPr>
                <w:iCs/>
                <w:sz w:val="20"/>
                <w:szCs w:val="20"/>
              </w:rPr>
            </w:pPr>
            <w:r>
              <w:rPr>
                <w:iCs/>
                <w:sz w:val="20"/>
                <w:szCs w:val="20"/>
              </w:rPr>
              <w:t>69,1</w:t>
            </w:r>
          </w:p>
        </w:tc>
        <w:tc>
          <w:tcPr>
            <w:tcW w:w="1140" w:type="dxa"/>
            <w:vAlign w:val="center"/>
          </w:tcPr>
          <w:p w:rsidR="00773E2C" w:rsidRDefault="00805665">
            <w:pPr>
              <w:jc w:val="center"/>
              <w:rPr>
                <w:iCs/>
                <w:sz w:val="20"/>
                <w:szCs w:val="20"/>
              </w:rPr>
            </w:pPr>
            <w:r>
              <w:rPr>
                <w:iCs/>
                <w:sz w:val="20"/>
                <w:szCs w:val="20"/>
              </w:rPr>
              <w:t>155,0%</w:t>
            </w:r>
          </w:p>
        </w:tc>
        <w:tc>
          <w:tcPr>
            <w:tcW w:w="1140" w:type="dxa"/>
            <w:vAlign w:val="center"/>
          </w:tcPr>
          <w:p w:rsidR="00773E2C" w:rsidRDefault="00805665">
            <w:pPr>
              <w:jc w:val="center"/>
              <w:rPr>
                <w:iCs/>
                <w:sz w:val="20"/>
                <w:szCs w:val="20"/>
              </w:rPr>
            </w:pPr>
            <w:r>
              <w:rPr>
                <w:iCs/>
                <w:sz w:val="20"/>
                <w:szCs w:val="20"/>
              </w:rPr>
              <w:t>38,5</w:t>
            </w:r>
          </w:p>
        </w:tc>
        <w:tc>
          <w:tcPr>
            <w:tcW w:w="1140" w:type="dxa"/>
            <w:vAlign w:val="center"/>
          </w:tcPr>
          <w:p w:rsidR="00773E2C" w:rsidRDefault="00805665">
            <w:pPr>
              <w:jc w:val="center"/>
              <w:rPr>
                <w:iCs/>
                <w:sz w:val="20"/>
                <w:szCs w:val="20"/>
              </w:rPr>
            </w:pPr>
            <w:r>
              <w:rPr>
                <w:iCs/>
                <w:sz w:val="20"/>
                <w:szCs w:val="20"/>
              </w:rPr>
              <w:t>-44,3%</w:t>
            </w:r>
          </w:p>
        </w:tc>
      </w:tr>
      <w:tr w:rsidR="00773E2C">
        <w:trPr>
          <w:trHeight w:val="283"/>
        </w:trPr>
        <w:tc>
          <w:tcPr>
            <w:tcW w:w="2977" w:type="dxa"/>
            <w:shd w:val="clear" w:color="auto" w:fill="auto"/>
            <w:vAlign w:val="center"/>
          </w:tcPr>
          <w:p w:rsidR="00773E2C" w:rsidRDefault="00805665">
            <w:pPr>
              <w:autoSpaceDE w:val="0"/>
              <w:autoSpaceDN w:val="0"/>
              <w:adjustRightInd w:val="0"/>
              <w:rPr>
                <w:bCs/>
                <w:sz w:val="20"/>
                <w:szCs w:val="20"/>
              </w:rPr>
            </w:pPr>
            <w:r>
              <w:rPr>
                <w:bCs/>
                <w:sz w:val="20"/>
                <w:szCs w:val="20"/>
              </w:rPr>
              <w:t>- средства юридических лиц</w:t>
            </w:r>
          </w:p>
        </w:tc>
        <w:tc>
          <w:tcPr>
            <w:tcW w:w="1140" w:type="dxa"/>
            <w:shd w:val="clear" w:color="auto" w:fill="auto"/>
            <w:vAlign w:val="center"/>
          </w:tcPr>
          <w:p w:rsidR="00773E2C" w:rsidRDefault="00805665">
            <w:pPr>
              <w:jc w:val="center"/>
              <w:rPr>
                <w:iCs/>
                <w:sz w:val="20"/>
                <w:szCs w:val="20"/>
              </w:rPr>
            </w:pPr>
            <w:r>
              <w:rPr>
                <w:iCs/>
                <w:sz w:val="20"/>
                <w:szCs w:val="20"/>
              </w:rPr>
              <w:t>316,0</w:t>
            </w:r>
          </w:p>
        </w:tc>
        <w:tc>
          <w:tcPr>
            <w:tcW w:w="1140" w:type="dxa"/>
            <w:shd w:val="clear" w:color="auto" w:fill="auto"/>
            <w:vAlign w:val="center"/>
          </w:tcPr>
          <w:p w:rsidR="00773E2C" w:rsidRDefault="00805665">
            <w:pPr>
              <w:jc w:val="center"/>
              <w:rPr>
                <w:iCs/>
                <w:sz w:val="20"/>
                <w:szCs w:val="20"/>
              </w:rPr>
            </w:pPr>
            <w:r>
              <w:rPr>
                <w:iCs/>
                <w:sz w:val="20"/>
                <w:szCs w:val="20"/>
              </w:rPr>
              <w:t>-11,6%</w:t>
            </w:r>
          </w:p>
        </w:tc>
        <w:tc>
          <w:tcPr>
            <w:tcW w:w="1140" w:type="dxa"/>
            <w:vAlign w:val="center"/>
          </w:tcPr>
          <w:p w:rsidR="00773E2C" w:rsidRDefault="00805665">
            <w:pPr>
              <w:jc w:val="center"/>
              <w:rPr>
                <w:iCs/>
                <w:sz w:val="20"/>
                <w:szCs w:val="20"/>
              </w:rPr>
            </w:pPr>
            <w:r>
              <w:rPr>
                <w:iCs/>
                <w:sz w:val="20"/>
                <w:szCs w:val="20"/>
              </w:rPr>
              <w:t>358,8</w:t>
            </w:r>
          </w:p>
        </w:tc>
        <w:tc>
          <w:tcPr>
            <w:tcW w:w="1140" w:type="dxa"/>
            <w:vAlign w:val="center"/>
          </w:tcPr>
          <w:p w:rsidR="00773E2C" w:rsidRDefault="00805665">
            <w:pPr>
              <w:jc w:val="center"/>
              <w:rPr>
                <w:iCs/>
                <w:sz w:val="20"/>
                <w:szCs w:val="20"/>
              </w:rPr>
            </w:pPr>
            <w:r>
              <w:rPr>
                <w:iCs/>
                <w:sz w:val="20"/>
                <w:szCs w:val="20"/>
              </w:rPr>
              <w:t>13,5%</w:t>
            </w:r>
          </w:p>
        </w:tc>
        <w:tc>
          <w:tcPr>
            <w:tcW w:w="1140" w:type="dxa"/>
            <w:vAlign w:val="center"/>
          </w:tcPr>
          <w:p w:rsidR="00773E2C" w:rsidRDefault="00805665">
            <w:pPr>
              <w:jc w:val="center"/>
              <w:rPr>
                <w:iCs/>
                <w:sz w:val="20"/>
                <w:szCs w:val="20"/>
              </w:rPr>
            </w:pPr>
            <w:r>
              <w:rPr>
                <w:iCs/>
                <w:sz w:val="20"/>
                <w:szCs w:val="20"/>
              </w:rPr>
              <w:t>291,5</w:t>
            </w:r>
          </w:p>
        </w:tc>
        <w:tc>
          <w:tcPr>
            <w:tcW w:w="1140" w:type="dxa"/>
            <w:vAlign w:val="center"/>
          </w:tcPr>
          <w:p w:rsidR="00773E2C" w:rsidRDefault="00805665">
            <w:pPr>
              <w:jc w:val="center"/>
              <w:rPr>
                <w:iCs/>
                <w:sz w:val="20"/>
                <w:szCs w:val="20"/>
              </w:rPr>
            </w:pPr>
            <w:r>
              <w:rPr>
                <w:iCs/>
                <w:sz w:val="20"/>
                <w:szCs w:val="20"/>
              </w:rPr>
              <w:t>-18,8%</w:t>
            </w:r>
          </w:p>
        </w:tc>
      </w:tr>
      <w:tr w:rsidR="00773E2C">
        <w:trPr>
          <w:trHeight w:val="441"/>
        </w:trPr>
        <w:tc>
          <w:tcPr>
            <w:tcW w:w="2977" w:type="dxa"/>
            <w:shd w:val="clear" w:color="auto" w:fill="auto"/>
            <w:vAlign w:val="center"/>
          </w:tcPr>
          <w:p w:rsidR="00773E2C" w:rsidRDefault="00805665">
            <w:pPr>
              <w:autoSpaceDE w:val="0"/>
              <w:autoSpaceDN w:val="0"/>
              <w:adjustRightInd w:val="0"/>
              <w:rPr>
                <w:bCs/>
                <w:sz w:val="20"/>
                <w:szCs w:val="20"/>
              </w:rPr>
            </w:pPr>
            <w:r>
              <w:rPr>
                <w:bCs/>
                <w:sz w:val="20"/>
                <w:szCs w:val="20"/>
              </w:rPr>
              <w:t>- вклады (средства) физических лиц, в том числе индивидуальных предпринимателей</w:t>
            </w:r>
          </w:p>
        </w:tc>
        <w:tc>
          <w:tcPr>
            <w:tcW w:w="1140" w:type="dxa"/>
            <w:shd w:val="clear" w:color="auto" w:fill="auto"/>
            <w:vAlign w:val="center"/>
          </w:tcPr>
          <w:p w:rsidR="00773E2C" w:rsidRDefault="00805665">
            <w:pPr>
              <w:jc w:val="center"/>
              <w:rPr>
                <w:iCs/>
                <w:sz w:val="20"/>
                <w:szCs w:val="20"/>
                <w:lang w:val="en-US"/>
              </w:rPr>
            </w:pPr>
            <w:r>
              <w:rPr>
                <w:iCs/>
                <w:sz w:val="20"/>
                <w:szCs w:val="20"/>
              </w:rPr>
              <w:t>209,7</w:t>
            </w:r>
          </w:p>
        </w:tc>
        <w:tc>
          <w:tcPr>
            <w:tcW w:w="1140" w:type="dxa"/>
            <w:shd w:val="clear" w:color="auto" w:fill="auto"/>
            <w:vAlign w:val="center"/>
          </w:tcPr>
          <w:p w:rsidR="00773E2C" w:rsidRDefault="00805665">
            <w:pPr>
              <w:jc w:val="center"/>
              <w:rPr>
                <w:iCs/>
                <w:sz w:val="20"/>
                <w:szCs w:val="20"/>
              </w:rPr>
            </w:pPr>
            <w:r>
              <w:rPr>
                <w:iCs/>
                <w:sz w:val="20"/>
                <w:szCs w:val="20"/>
              </w:rPr>
              <w:t>4,2%</w:t>
            </w:r>
          </w:p>
        </w:tc>
        <w:tc>
          <w:tcPr>
            <w:tcW w:w="1140" w:type="dxa"/>
            <w:vAlign w:val="center"/>
          </w:tcPr>
          <w:p w:rsidR="00773E2C" w:rsidRDefault="00805665">
            <w:pPr>
              <w:jc w:val="center"/>
              <w:rPr>
                <w:iCs/>
                <w:sz w:val="20"/>
                <w:szCs w:val="20"/>
              </w:rPr>
            </w:pPr>
            <w:r>
              <w:rPr>
                <w:iCs/>
                <w:sz w:val="20"/>
                <w:szCs w:val="20"/>
              </w:rPr>
              <w:t>264,9</w:t>
            </w:r>
          </w:p>
        </w:tc>
        <w:tc>
          <w:tcPr>
            <w:tcW w:w="1140" w:type="dxa"/>
            <w:vAlign w:val="center"/>
          </w:tcPr>
          <w:p w:rsidR="00773E2C" w:rsidRDefault="00805665">
            <w:pPr>
              <w:jc w:val="center"/>
              <w:rPr>
                <w:iCs/>
                <w:sz w:val="20"/>
                <w:szCs w:val="20"/>
              </w:rPr>
            </w:pPr>
            <w:r>
              <w:rPr>
                <w:iCs/>
                <w:sz w:val="20"/>
                <w:szCs w:val="20"/>
              </w:rPr>
              <w:t>26,3%</w:t>
            </w:r>
          </w:p>
        </w:tc>
        <w:tc>
          <w:tcPr>
            <w:tcW w:w="1140" w:type="dxa"/>
            <w:vAlign w:val="center"/>
          </w:tcPr>
          <w:p w:rsidR="00773E2C" w:rsidRDefault="00805665">
            <w:pPr>
              <w:jc w:val="center"/>
              <w:rPr>
                <w:iCs/>
                <w:sz w:val="20"/>
                <w:szCs w:val="20"/>
              </w:rPr>
            </w:pPr>
            <w:r>
              <w:rPr>
                <w:iCs/>
                <w:sz w:val="20"/>
                <w:szCs w:val="20"/>
              </w:rPr>
              <w:t>308,9</w:t>
            </w:r>
          </w:p>
        </w:tc>
        <w:tc>
          <w:tcPr>
            <w:tcW w:w="1140" w:type="dxa"/>
            <w:vAlign w:val="center"/>
          </w:tcPr>
          <w:p w:rsidR="00773E2C" w:rsidRDefault="00805665">
            <w:pPr>
              <w:jc w:val="center"/>
              <w:rPr>
                <w:iCs/>
                <w:sz w:val="20"/>
                <w:szCs w:val="20"/>
              </w:rPr>
            </w:pPr>
            <w:r>
              <w:rPr>
                <w:iCs/>
                <w:sz w:val="20"/>
                <w:szCs w:val="20"/>
              </w:rPr>
              <w:t>16,6%</w:t>
            </w:r>
          </w:p>
        </w:tc>
      </w:tr>
      <w:tr w:rsidR="00773E2C">
        <w:tc>
          <w:tcPr>
            <w:tcW w:w="2977" w:type="dxa"/>
            <w:shd w:val="clear" w:color="auto" w:fill="auto"/>
            <w:vAlign w:val="center"/>
          </w:tcPr>
          <w:p w:rsidR="00773E2C" w:rsidRDefault="00805665">
            <w:pPr>
              <w:autoSpaceDE w:val="0"/>
              <w:autoSpaceDN w:val="0"/>
              <w:adjustRightInd w:val="0"/>
              <w:rPr>
                <w:bCs/>
                <w:sz w:val="20"/>
                <w:szCs w:val="20"/>
              </w:rPr>
            </w:pPr>
            <w:r>
              <w:rPr>
                <w:bCs/>
                <w:sz w:val="20"/>
                <w:szCs w:val="20"/>
              </w:rPr>
              <w:t>Прибыль (убыток) за отчетный период, млрд. руб.</w:t>
            </w:r>
          </w:p>
        </w:tc>
        <w:tc>
          <w:tcPr>
            <w:tcW w:w="1140" w:type="dxa"/>
            <w:shd w:val="clear" w:color="auto" w:fill="auto"/>
            <w:vAlign w:val="center"/>
          </w:tcPr>
          <w:p w:rsidR="00773E2C" w:rsidRDefault="00805665">
            <w:pPr>
              <w:jc w:val="center"/>
              <w:rPr>
                <w:sz w:val="20"/>
                <w:szCs w:val="20"/>
              </w:rPr>
            </w:pPr>
            <w:r>
              <w:rPr>
                <w:sz w:val="20"/>
                <w:szCs w:val="20"/>
              </w:rPr>
              <w:t>11,7</w:t>
            </w:r>
          </w:p>
        </w:tc>
        <w:tc>
          <w:tcPr>
            <w:tcW w:w="1140" w:type="dxa"/>
            <w:shd w:val="clear" w:color="auto" w:fill="auto"/>
            <w:vAlign w:val="center"/>
          </w:tcPr>
          <w:p w:rsidR="00773E2C" w:rsidRDefault="00805665">
            <w:pPr>
              <w:jc w:val="center"/>
              <w:rPr>
                <w:sz w:val="20"/>
                <w:szCs w:val="20"/>
              </w:rPr>
            </w:pPr>
            <w:r>
              <w:rPr>
                <w:sz w:val="20"/>
                <w:szCs w:val="20"/>
              </w:rPr>
              <w:t>-5,6%</w:t>
            </w:r>
          </w:p>
        </w:tc>
        <w:tc>
          <w:tcPr>
            <w:tcW w:w="1140" w:type="dxa"/>
            <w:vAlign w:val="center"/>
          </w:tcPr>
          <w:p w:rsidR="00773E2C" w:rsidRDefault="00805665">
            <w:pPr>
              <w:jc w:val="center"/>
              <w:rPr>
                <w:sz w:val="20"/>
                <w:szCs w:val="20"/>
              </w:rPr>
            </w:pPr>
            <w:r>
              <w:rPr>
                <w:sz w:val="20"/>
                <w:szCs w:val="20"/>
              </w:rPr>
              <w:t>11,7</w:t>
            </w:r>
          </w:p>
        </w:tc>
        <w:tc>
          <w:tcPr>
            <w:tcW w:w="1140" w:type="dxa"/>
            <w:vAlign w:val="center"/>
          </w:tcPr>
          <w:p w:rsidR="00773E2C" w:rsidRDefault="00805665">
            <w:pPr>
              <w:jc w:val="center"/>
              <w:rPr>
                <w:sz w:val="20"/>
                <w:szCs w:val="20"/>
              </w:rPr>
            </w:pPr>
            <w:r>
              <w:rPr>
                <w:sz w:val="20"/>
                <w:szCs w:val="20"/>
              </w:rPr>
              <w:t>0,0%</w:t>
            </w:r>
          </w:p>
        </w:tc>
        <w:tc>
          <w:tcPr>
            <w:tcW w:w="1140" w:type="dxa"/>
            <w:vAlign w:val="center"/>
          </w:tcPr>
          <w:p w:rsidR="00773E2C" w:rsidRDefault="00805665">
            <w:pPr>
              <w:jc w:val="center"/>
              <w:rPr>
                <w:sz w:val="20"/>
                <w:szCs w:val="20"/>
              </w:rPr>
            </w:pPr>
            <w:r>
              <w:rPr>
                <w:sz w:val="20"/>
                <w:szCs w:val="20"/>
              </w:rPr>
              <w:t>10,9</w:t>
            </w:r>
          </w:p>
        </w:tc>
        <w:tc>
          <w:tcPr>
            <w:tcW w:w="1140" w:type="dxa"/>
            <w:vAlign w:val="center"/>
          </w:tcPr>
          <w:p w:rsidR="00773E2C" w:rsidRDefault="00805665">
            <w:pPr>
              <w:jc w:val="center"/>
              <w:rPr>
                <w:sz w:val="20"/>
                <w:szCs w:val="20"/>
              </w:rPr>
            </w:pPr>
            <w:r>
              <w:rPr>
                <w:sz w:val="20"/>
                <w:szCs w:val="20"/>
              </w:rPr>
              <w:t>-6,8%</w:t>
            </w:r>
          </w:p>
        </w:tc>
      </w:tr>
      <w:tr w:rsidR="00773E2C">
        <w:tc>
          <w:tcPr>
            <w:tcW w:w="2977" w:type="dxa"/>
            <w:shd w:val="clear" w:color="auto" w:fill="auto"/>
            <w:vAlign w:val="center"/>
          </w:tcPr>
          <w:p w:rsidR="00773E2C" w:rsidRDefault="00805665">
            <w:pPr>
              <w:autoSpaceDE w:val="0"/>
              <w:autoSpaceDN w:val="0"/>
              <w:adjustRightInd w:val="0"/>
              <w:rPr>
                <w:bCs/>
                <w:sz w:val="20"/>
                <w:szCs w:val="20"/>
              </w:rPr>
            </w:pPr>
            <w:r>
              <w:rPr>
                <w:bCs/>
                <w:sz w:val="20"/>
                <w:szCs w:val="20"/>
              </w:rPr>
              <w:t>Размер базовой прибыли на одну акцию, руб.</w:t>
            </w:r>
          </w:p>
        </w:tc>
        <w:tc>
          <w:tcPr>
            <w:tcW w:w="2280" w:type="dxa"/>
            <w:gridSpan w:val="2"/>
            <w:shd w:val="clear" w:color="auto" w:fill="auto"/>
            <w:vAlign w:val="center"/>
          </w:tcPr>
          <w:p w:rsidR="00773E2C" w:rsidRDefault="00805665">
            <w:pPr>
              <w:jc w:val="center"/>
              <w:rPr>
                <w:sz w:val="20"/>
                <w:szCs w:val="20"/>
              </w:rPr>
            </w:pPr>
            <w:r>
              <w:rPr>
                <w:sz w:val="20"/>
                <w:szCs w:val="20"/>
              </w:rPr>
              <w:t>0,032</w:t>
            </w:r>
          </w:p>
        </w:tc>
        <w:tc>
          <w:tcPr>
            <w:tcW w:w="2280" w:type="dxa"/>
            <w:gridSpan w:val="2"/>
            <w:vAlign w:val="center"/>
          </w:tcPr>
          <w:p w:rsidR="00773E2C" w:rsidRDefault="00805665">
            <w:pPr>
              <w:jc w:val="center"/>
              <w:rPr>
                <w:sz w:val="20"/>
                <w:szCs w:val="20"/>
              </w:rPr>
            </w:pPr>
            <w:r>
              <w:rPr>
                <w:sz w:val="20"/>
                <w:szCs w:val="20"/>
              </w:rPr>
              <w:t>0,033</w:t>
            </w:r>
          </w:p>
        </w:tc>
        <w:tc>
          <w:tcPr>
            <w:tcW w:w="2280" w:type="dxa"/>
            <w:gridSpan w:val="2"/>
            <w:vAlign w:val="center"/>
          </w:tcPr>
          <w:p w:rsidR="00773E2C" w:rsidRDefault="00805665">
            <w:pPr>
              <w:jc w:val="center"/>
              <w:rPr>
                <w:sz w:val="20"/>
                <w:szCs w:val="20"/>
              </w:rPr>
            </w:pPr>
            <w:r>
              <w:rPr>
                <w:sz w:val="20"/>
                <w:szCs w:val="20"/>
              </w:rPr>
              <w:t>0,030</w:t>
            </w:r>
          </w:p>
        </w:tc>
      </w:tr>
      <w:tr w:rsidR="00773E2C">
        <w:tc>
          <w:tcPr>
            <w:tcW w:w="2977" w:type="dxa"/>
            <w:shd w:val="clear" w:color="auto" w:fill="auto"/>
            <w:vAlign w:val="center"/>
          </w:tcPr>
          <w:p w:rsidR="00773E2C" w:rsidRDefault="00805665">
            <w:pPr>
              <w:autoSpaceDE w:val="0"/>
              <w:autoSpaceDN w:val="0"/>
              <w:adjustRightInd w:val="0"/>
              <w:rPr>
                <w:bCs/>
                <w:sz w:val="20"/>
                <w:szCs w:val="20"/>
              </w:rPr>
            </w:pPr>
            <w:r>
              <w:rPr>
                <w:bCs/>
                <w:sz w:val="20"/>
                <w:szCs w:val="20"/>
              </w:rPr>
              <w:t>Чистые процентные доходы после создания резерва под кредитные убытки, млрд руб.</w:t>
            </w:r>
          </w:p>
        </w:tc>
        <w:tc>
          <w:tcPr>
            <w:tcW w:w="1140" w:type="dxa"/>
            <w:shd w:val="clear" w:color="auto" w:fill="auto"/>
            <w:vAlign w:val="center"/>
          </w:tcPr>
          <w:p w:rsidR="00773E2C" w:rsidRDefault="00805665">
            <w:pPr>
              <w:jc w:val="center"/>
              <w:rPr>
                <w:sz w:val="20"/>
                <w:szCs w:val="20"/>
              </w:rPr>
            </w:pPr>
            <w:r>
              <w:rPr>
                <w:sz w:val="20"/>
                <w:szCs w:val="20"/>
              </w:rPr>
              <w:t>26,8</w:t>
            </w:r>
          </w:p>
        </w:tc>
        <w:tc>
          <w:tcPr>
            <w:tcW w:w="1140" w:type="dxa"/>
            <w:shd w:val="clear" w:color="auto" w:fill="auto"/>
            <w:vAlign w:val="center"/>
          </w:tcPr>
          <w:p w:rsidR="00773E2C" w:rsidRDefault="00805665">
            <w:pPr>
              <w:jc w:val="center"/>
              <w:rPr>
                <w:sz w:val="20"/>
                <w:szCs w:val="20"/>
              </w:rPr>
            </w:pPr>
            <w:r>
              <w:rPr>
                <w:sz w:val="20"/>
                <w:szCs w:val="20"/>
              </w:rPr>
              <w:t>65,4%</w:t>
            </w:r>
          </w:p>
        </w:tc>
        <w:tc>
          <w:tcPr>
            <w:tcW w:w="1140" w:type="dxa"/>
            <w:vAlign w:val="center"/>
          </w:tcPr>
          <w:p w:rsidR="00773E2C" w:rsidRDefault="00805665">
            <w:pPr>
              <w:jc w:val="center"/>
              <w:rPr>
                <w:sz w:val="20"/>
                <w:szCs w:val="20"/>
              </w:rPr>
            </w:pPr>
            <w:r>
              <w:rPr>
                <w:sz w:val="20"/>
                <w:szCs w:val="20"/>
              </w:rPr>
              <w:t>32,7</w:t>
            </w:r>
          </w:p>
        </w:tc>
        <w:tc>
          <w:tcPr>
            <w:tcW w:w="1140" w:type="dxa"/>
            <w:vAlign w:val="center"/>
          </w:tcPr>
          <w:p w:rsidR="00773E2C" w:rsidRDefault="00805665">
            <w:pPr>
              <w:jc w:val="center"/>
              <w:rPr>
                <w:sz w:val="20"/>
                <w:szCs w:val="20"/>
              </w:rPr>
            </w:pPr>
            <w:r>
              <w:rPr>
                <w:sz w:val="20"/>
                <w:szCs w:val="20"/>
              </w:rPr>
              <w:t>22,0%</w:t>
            </w:r>
          </w:p>
        </w:tc>
        <w:tc>
          <w:tcPr>
            <w:tcW w:w="1140" w:type="dxa"/>
            <w:vAlign w:val="center"/>
          </w:tcPr>
          <w:p w:rsidR="00773E2C" w:rsidRDefault="00805665">
            <w:pPr>
              <w:jc w:val="center"/>
              <w:rPr>
                <w:sz w:val="20"/>
                <w:szCs w:val="20"/>
              </w:rPr>
            </w:pPr>
            <w:r>
              <w:rPr>
                <w:sz w:val="20"/>
                <w:szCs w:val="20"/>
              </w:rPr>
              <w:t>30,8</w:t>
            </w:r>
          </w:p>
        </w:tc>
        <w:tc>
          <w:tcPr>
            <w:tcW w:w="1140" w:type="dxa"/>
            <w:vAlign w:val="center"/>
          </w:tcPr>
          <w:p w:rsidR="00773E2C" w:rsidRDefault="00805665">
            <w:pPr>
              <w:jc w:val="center"/>
              <w:rPr>
                <w:sz w:val="20"/>
                <w:szCs w:val="20"/>
              </w:rPr>
            </w:pPr>
            <w:r>
              <w:rPr>
                <w:sz w:val="20"/>
                <w:szCs w:val="20"/>
              </w:rPr>
              <w:t>-5,8%</w:t>
            </w:r>
          </w:p>
        </w:tc>
      </w:tr>
      <w:tr w:rsidR="00773E2C">
        <w:trPr>
          <w:trHeight w:val="283"/>
        </w:trPr>
        <w:tc>
          <w:tcPr>
            <w:tcW w:w="2977" w:type="dxa"/>
            <w:shd w:val="clear" w:color="auto" w:fill="auto"/>
            <w:vAlign w:val="center"/>
          </w:tcPr>
          <w:p w:rsidR="00773E2C" w:rsidRDefault="00805665">
            <w:pPr>
              <w:autoSpaceDE w:val="0"/>
              <w:autoSpaceDN w:val="0"/>
              <w:adjustRightInd w:val="0"/>
              <w:rPr>
                <w:bCs/>
                <w:sz w:val="20"/>
                <w:szCs w:val="20"/>
              </w:rPr>
            </w:pPr>
            <w:r>
              <w:rPr>
                <w:bCs/>
                <w:sz w:val="20"/>
                <w:szCs w:val="20"/>
              </w:rPr>
              <w:t>Чистая процентная маржа, %</w:t>
            </w:r>
          </w:p>
        </w:tc>
        <w:tc>
          <w:tcPr>
            <w:tcW w:w="2280" w:type="dxa"/>
            <w:gridSpan w:val="2"/>
            <w:vAlign w:val="center"/>
          </w:tcPr>
          <w:p w:rsidR="00773E2C" w:rsidRDefault="00805665">
            <w:pPr>
              <w:autoSpaceDE w:val="0"/>
              <w:autoSpaceDN w:val="0"/>
              <w:adjustRightInd w:val="0"/>
              <w:jc w:val="center"/>
              <w:rPr>
                <w:bCs/>
                <w:sz w:val="20"/>
                <w:szCs w:val="20"/>
              </w:rPr>
            </w:pPr>
            <w:r>
              <w:rPr>
                <w:bCs/>
                <w:sz w:val="20"/>
                <w:szCs w:val="20"/>
              </w:rPr>
              <w:t>5,87%</w:t>
            </w:r>
          </w:p>
        </w:tc>
        <w:tc>
          <w:tcPr>
            <w:tcW w:w="2280" w:type="dxa"/>
            <w:gridSpan w:val="2"/>
            <w:vAlign w:val="center"/>
          </w:tcPr>
          <w:p w:rsidR="00773E2C" w:rsidRDefault="00805665">
            <w:pPr>
              <w:autoSpaceDE w:val="0"/>
              <w:autoSpaceDN w:val="0"/>
              <w:adjustRightInd w:val="0"/>
              <w:jc w:val="center"/>
              <w:rPr>
                <w:sz w:val="20"/>
                <w:szCs w:val="20"/>
              </w:rPr>
            </w:pPr>
            <w:r>
              <w:rPr>
                <w:sz w:val="20"/>
                <w:szCs w:val="20"/>
              </w:rPr>
              <w:t>6,42% </w:t>
            </w:r>
          </w:p>
        </w:tc>
        <w:tc>
          <w:tcPr>
            <w:tcW w:w="2280" w:type="dxa"/>
            <w:gridSpan w:val="2"/>
            <w:vAlign w:val="center"/>
          </w:tcPr>
          <w:p w:rsidR="00773E2C" w:rsidRDefault="00805665">
            <w:pPr>
              <w:autoSpaceDE w:val="0"/>
              <w:autoSpaceDN w:val="0"/>
              <w:adjustRightInd w:val="0"/>
              <w:jc w:val="center"/>
              <w:rPr>
                <w:sz w:val="20"/>
                <w:szCs w:val="20"/>
              </w:rPr>
            </w:pPr>
            <w:r>
              <w:rPr>
                <w:sz w:val="20"/>
                <w:szCs w:val="20"/>
              </w:rPr>
              <w:t>6,84%</w:t>
            </w:r>
          </w:p>
        </w:tc>
      </w:tr>
      <w:tr w:rsidR="00773E2C">
        <w:tc>
          <w:tcPr>
            <w:tcW w:w="2977" w:type="dxa"/>
            <w:shd w:val="clear" w:color="auto" w:fill="auto"/>
            <w:vAlign w:val="center"/>
          </w:tcPr>
          <w:p w:rsidR="00773E2C" w:rsidRDefault="00805665">
            <w:pPr>
              <w:autoSpaceDE w:val="0"/>
              <w:autoSpaceDN w:val="0"/>
              <w:adjustRightInd w:val="0"/>
              <w:rPr>
                <w:bCs/>
                <w:sz w:val="20"/>
                <w:szCs w:val="20"/>
              </w:rPr>
            </w:pPr>
            <w:r>
              <w:rPr>
                <w:bCs/>
                <w:sz w:val="20"/>
                <w:szCs w:val="20"/>
              </w:rPr>
              <w:t>Соотношение операционных расходов к операционным доходам, %</w:t>
            </w:r>
          </w:p>
        </w:tc>
        <w:tc>
          <w:tcPr>
            <w:tcW w:w="2280" w:type="dxa"/>
            <w:gridSpan w:val="2"/>
            <w:vAlign w:val="center"/>
          </w:tcPr>
          <w:p w:rsidR="00773E2C" w:rsidRDefault="00805665">
            <w:pPr>
              <w:jc w:val="center"/>
              <w:rPr>
                <w:sz w:val="20"/>
                <w:szCs w:val="20"/>
              </w:rPr>
            </w:pPr>
            <w:r>
              <w:rPr>
                <w:sz w:val="20"/>
                <w:szCs w:val="20"/>
              </w:rPr>
              <w:t>49,60%</w:t>
            </w:r>
          </w:p>
        </w:tc>
        <w:tc>
          <w:tcPr>
            <w:tcW w:w="2280" w:type="dxa"/>
            <w:gridSpan w:val="2"/>
            <w:vAlign w:val="center"/>
          </w:tcPr>
          <w:p w:rsidR="00773E2C" w:rsidRDefault="00805665">
            <w:pPr>
              <w:jc w:val="center"/>
              <w:rPr>
                <w:sz w:val="20"/>
                <w:szCs w:val="20"/>
              </w:rPr>
            </w:pPr>
            <w:r>
              <w:rPr>
                <w:sz w:val="20"/>
                <w:szCs w:val="20"/>
              </w:rPr>
              <w:t>52,28% </w:t>
            </w:r>
          </w:p>
        </w:tc>
        <w:tc>
          <w:tcPr>
            <w:tcW w:w="2280" w:type="dxa"/>
            <w:gridSpan w:val="2"/>
            <w:vAlign w:val="center"/>
          </w:tcPr>
          <w:p w:rsidR="00773E2C" w:rsidRDefault="00805665">
            <w:pPr>
              <w:jc w:val="center"/>
              <w:rPr>
                <w:sz w:val="20"/>
                <w:szCs w:val="20"/>
              </w:rPr>
            </w:pPr>
            <w:r>
              <w:rPr>
                <w:sz w:val="20"/>
                <w:szCs w:val="20"/>
              </w:rPr>
              <w:t>51,59%</w:t>
            </w:r>
          </w:p>
        </w:tc>
      </w:tr>
      <w:tr w:rsidR="00773E2C">
        <w:trPr>
          <w:trHeight w:val="324"/>
        </w:trPr>
        <w:tc>
          <w:tcPr>
            <w:tcW w:w="2977" w:type="dxa"/>
            <w:shd w:val="clear" w:color="auto" w:fill="auto"/>
            <w:vAlign w:val="center"/>
          </w:tcPr>
          <w:p w:rsidR="00773E2C" w:rsidRDefault="00805665">
            <w:pPr>
              <w:autoSpaceDE w:val="0"/>
              <w:autoSpaceDN w:val="0"/>
              <w:adjustRightInd w:val="0"/>
              <w:rPr>
                <w:bCs/>
                <w:sz w:val="20"/>
                <w:szCs w:val="20"/>
              </w:rPr>
            </w:pPr>
            <w:r>
              <w:rPr>
                <w:bCs/>
                <w:sz w:val="20"/>
                <w:szCs w:val="20"/>
              </w:rPr>
              <w:t>Операционные расходы, млрд руб.</w:t>
            </w:r>
          </w:p>
        </w:tc>
        <w:tc>
          <w:tcPr>
            <w:tcW w:w="1140" w:type="dxa"/>
            <w:shd w:val="clear" w:color="auto" w:fill="auto"/>
            <w:vAlign w:val="center"/>
          </w:tcPr>
          <w:p w:rsidR="00773E2C" w:rsidRDefault="00805665">
            <w:pPr>
              <w:jc w:val="center"/>
              <w:rPr>
                <w:sz w:val="20"/>
                <w:szCs w:val="20"/>
              </w:rPr>
            </w:pPr>
            <w:r>
              <w:rPr>
                <w:sz w:val="20"/>
                <w:szCs w:val="20"/>
              </w:rPr>
              <w:t>33,6</w:t>
            </w:r>
          </w:p>
        </w:tc>
        <w:tc>
          <w:tcPr>
            <w:tcW w:w="1140" w:type="dxa"/>
            <w:shd w:val="clear" w:color="auto" w:fill="auto"/>
            <w:vAlign w:val="center"/>
          </w:tcPr>
          <w:p w:rsidR="00773E2C" w:rsidRDefault="00805665">
            <w:pPr>
              <w:jc w:val="center"/>
              <w:rPr>
                <w:sz w:val="20"/>
                <w:szCs w:val="20"/>
              </w:rPr>
            </w:pPr>
            <w:r>
              <w:rPr>
                <w:sz w:val="20"/>
                <w:szCs w:val="20"/>
              </w:rPr>
              <w:t>9,4%</w:t>
            </w:r>
          </w:p>
        </w:tc>
        <w:tc>
          <w:tcPr>
            <w:tcW w:w="1140" w:type="dxa"/>
            <w:vAlign w:val="center"/>
          </w:tcPr>
          <w:p w:rsidR="00773E2C" w:rsidRDefault="00805665">
            <w:pPr>
              <w:jc w:val="center"/>
              <w:rPr>
                <w:sz w:val="20"/>
                <w:szCs w:val="20"/>
              </w:rPr>
            </w:pPr>
            <w:r>
              <w:rPr>
                <w:sz w:val="20"/>
                <w:szCs w:val="20"/>
              </w:rPr>
              <w:t>36,5</w:t>
            </w:r>
          </w:p>
        </w:tc>
        <w:tc>
          <w:tcPr>
            <w:tcW w:w="1140" w:type="dxa"/>
            <w:vAlign w:val="center"/>
          </w:tcPr>
          <w:p w:rsidR="00773E2C" w:rsidRDefault="00805665">
            <w:pPr>
              <w:jc w:val="center"/>
              <w:rPr>
                <w:sz w:val="20"/>
                <w:szCs w:val="20"/>
              </w:rPr>
            </w:pPr>
            <w:r>
              <w:rPr>
                <w:sz w:val="20"/>
                <w:szCs w:val="20"/>
              </w:rPr>
              <w:t>8,6%</w:t>
            </w:r>
          </w:p>
        </w:tc>
        <w:tc>
          <w:tcPr>
            <w:tcW w:w="1140" w:type="dxa"/>
            <w:vAlign w:val="center"/>
          </w:tcPr>
          <w:p w:rsidR="00773E2C" w:rsidRDefault="00805665">
            <w:pPr>
              <w:jc w:val="center"/>
              <w:rPr>
                <w:sz w:val="20"/>
                <w:szCs w:val="20"/>
              </w:rPr>
            </w:pPr>
            <w:r>
              <w:rPr>
                <w:sz w:val="20"/>
                <w:szCs w:val="20"/>
              </w:rPr>
              <w:t>41,7</w:t>
            </w:r>
          </w:p>
        </w:tc>
        <w:tc>
          <w:tcPr>
            <w:tcW w:w="1140" w:type="dxa"/>
            <w:vAlign w:val="center"/>
          </w:tcPr>
          <w:p w:rsidR="00773E2C" w:rsidRDefault="00805665">
            <w:pPr>
              <w:jc w:val="center"/>
              <w:rPr>
                <w:sz w:val="20"/>
                <w:szCs w:val="20"/>
              </w:rPr>
            </w:pPr>
            <w:r>
              <w:rPr>
                <w:sz w:val="20"/>
                <w:szCs w:val="20"/>
              </w:rPr>
              <w:t>14,2%</w:t>
            </w:r>
          </w:p>
        </w:tc>
      </w:tr>
      <w:tr w:rsidR="00773E2C">
        <w:trPr>
          <w:trHeight w:val="283"/>
        </w:trPr>
        <w:tc>
          <w:tcPr>
            <w:tcW w:w="2977" w:type="dxa"/>
            <w:shd w:val="clear" w:color="auto" w:fill="auto"/>
            <w:vAlign w:val="center"/>
          </w:tcPr>
          <w:p w:rsidR="00773E2C" w:rsidRDefault="00805665">
            <w:pPr>
              <w:autoSpaceDE w:val="0"/>
              <w:autoSpaceDN w:val="0"/>
              <w:adjustRightInd w:val="0"/>
              <w:rPr>
                <w:bCs/>
                <w:sz w:val="20"/>
                <w:szCs w:val="20"/>
              </w:rPr>
            </w:pPr>
            <w:r>
              <w:rPr>
                <w:bCs/>
                <w:sz w:val="20"/>
                <w:szCs w:val="20"/>
              </w:rPr>
              <w:t>Операционные доходы, млрд руб.</w:t>
            </w:r>
          </w:p>
        </w:tc>
        <w:tc>
          <w:tcPr>
            <w:tcW w:w="1140" w:type="dxa"/>
            <w:shd w:val="clear" w:color="auto" w:fill="auto"/>
            <w:vAlign w:val="center"/>
          </w:tcPr>
          <w:p w:rsidR="00773E2C" w:rsidRDefault="00805665">
            <w:pPr>
              <w:jc w:val="center"/>
              <w:rPr>
                <w:sz w:val="20"/>
                <w:szCs w:val="20"/>
              </w:rPr>
            </w:pPr>
            <w:r>
              <w:rPr>
                <w:sz w:val="20"/>
                <w:szCs w:val="20"/>
              </w:rPr>
              <w:t>59,3</w:t>
            </w:r>
          </w:p>
        </w:tc>
        <w:tc>
          <w:tcPr>
            <w:tcW w:w="1140" w:type="dxa"/>
            <w:shd w:val="clear" w:color="auto" w:fill="auto"/>
            <w:vAlign w:val="center"/>
          </w:tcPr>
          <w:p w:rsidR="00773E2C" w:rsidRDefault="00805665">
            <w:pPr>
              <w:jc w:val="center"/>
              <w:rPr>
                <w:sz w:val="20"/>
                <w:szCs w:val="20"/>
              </w:rPr>
            </w:pPr>
            <w:r>
              <w:rPr>
                <w:sz w:val="20"/>
                <w:szCs w:val="20"/>
              </w:rPr>
              <w:t>12,5%</w:t>
            </w:r>
          </w:p>
        </w:tc>
        <w:tc>
          <w:tcPr>
            <w:tcW w:w="1140" w:type="dxa"/>
            <w:vAlign w:val="center"/>
          </w:tcPr>
          <w:p w:rsidR="00773E2C" w:rsidRDefault="00805665">
            <w:pPr>
              <w:jc w:val="center"/>
              <w:rPr>
                <w:sz w:val="20"/>
                <w:szCs w:val="20"/>
              </w:rPr>
            </w:pPr>
            <w:r>
              <w:rPr>
                <w:sz w:val="20"/>
                <w:szCs w:val="20"/>
              </w:rPr>
              <w:t>61,3</w:t>
            </w:r>
          </w:p>
        </w:tc>
        <w:tc>
          <w:tcPr>
            <w:tcW w:w="1140" w:type="dxa"/>
            <w:vAlign w:val="center"/>
          </w:tcPr>
          <w:p w:rsidR="00773E2C" w:rsidRDefault="00805665">
            <w:pPr>
              <w:jc w:val="center"/>
              <w:rPr>
                <w:sz w:val="20"/>
                <w:szCs w:val="20"/>
              </w:rPr>
            </w:pPr>
            <w:r>
              <w:rPr>
                <w:sz w:val="20"/>
                <w:szCs w:val="20"/>
              </w:rPr>
              <w:t>3,4%</w:t>
            </w:r>
          </w:p>
        </w:tc>
        <w:tc>
          <w:tcPr>
            <w:tcW w:w="1140" w:type="dxa"/>
            <w:vAlign w:val="center"/>
          </w:tcPr>
          <w:p w:rsidR="00773E2C" w:rsidRDefault="00805665">
            <w:pPr>
              <w:jc w:val="center"/>
              <w:rPr>
                <w:sz w:val="20"/>
                <w:szCs w:val="20"/>
              </w:rPr>
            </w:pPr>
            <w:r>
              <w:rPr>
                <w:sz w:val="20"/>
                <w:szCs w:val="20"/>
              </w:rPr>
              <w:t>78,5</w:t>
            </w:r>
          </w:p>
        </w:tc>
        <w:tc>
          <w:tcPr>
            <w:tcW w:w="1140" w:type="dxa"/>
            <w:vAlign w:val="center"/>
          </w:tcPr>
          <w:p w:rsidR="00773E2C" w:rsidRDefault="00805665">
            <w:pPr>
              <w:jc w:val="center"/>
              <w:rPr>
                <w:sz w:val="20"/>
                <w:szCs w:val="20"/>
              </w:rPr>
            </w:pPr>
            <w:r>
              <w:rPr>
                <w:sz w:val="20"/>
                <w:szCs w:val="20"/>
              </w:rPr>
              <w:t>28,1%</w:t>
            </w:r>
          </w:p>
        </w:tc>
      </w:tr>
      <w:tr w:rsidR="00773E2C">
        <w:tc>
          <w:tcPr>
            <w:tcW w:w="2977" w:type="dxa"/>
            <w:shd w:val="clear" w:color="auto" w:fill="auto"/>
            <w:vAlign w:val="center"/>
          </w:tcPr>
          <w:p w:rsidR="00773E2C" w:rsidRDefault="00805665">
            <w:pPr>
              <w:autoSpaceDE w:val="0"/>
              <w:autoSpaceDN w:val="0"/>
              <w:adjustRightInd w:val="0"/>
              <w:rPr>
                <w:bCs/>
                <w:sz w:val="20"/>
                <w:szCs w:val="20"/>
              </w:rPr>
            </w:pPr>
            <w:r>
              <w:rPr>
                <w:bCs/>
                <w:sz w:val="20"/>
                <w:szCs w:val="20"/>
              </w:rPr>
              <w:t xml:space="preserve">Чистые комиссионные доходы, </w:t>
            </w:r>
          </w:p>
          <w:p w:rsidR="00773E2C" w:rsidRDefault="00805665">
            <w:pPr>
              <w:autoSpaceDE w:val="0"/>
              <w:autoSpaceDN w:val="0"/>
              <w:adjustRightInd w:val="0"/>
              <w:rPr>
                <w:bCs/>
                <w:sz w:val="20"/>
                <w:szCs w:val="20"/>
              </w:rPr>
            </w:pPr>
            <w:r>
              <w:rPr>
                <w:bCs/>
                <w:sz w:val="20"/>
                <w:szCs w:val="20"/>
              </w:rPr>
              <w:t>млрд руб.</w:t>
            </w:r>
          </w:p>
        </w:tc>
        <w:tc>
          <w:tcPr>
            <w:tcW w:w="1140" w:type="dxa"/>
            <w:shd w:val="clear" w:color="auto" w:fill="auto"/>
            <w:vAlign w:val="center"/>
          </w:tcPr>
          <w:p w:rsidR="00773E2C" w:rsidRDefault="00805665">
            <w:pPr>
              <w:jc w:val="center"/>
              <w:rPr>
                <w:sz w:val="20"/>
                <w:szCs w:val="20"/>
              </w:rPr>
            </w:pPr>
            <w:r>
              <w:rPr>
                <w:sz w:val="20"/>
                <w:szCs w:val="20"/>
              </w:rPr>
              <w:t>9,5</w:t>
            </w:r>
          </w:p>
        </w:tc>
        <w:tc>
          <w:tcPr>
            <w:tcW w:w="1140" w:type="dxa"/>
            <w:shd w:val="clear" w:color="auto" w:fill="auto"/>
            <w:vAlign w:val="center"/>
          </w:tcPr>
          <w:p w:rsidR="00773E2C" w:rsidRDefault="00805665">
            <w:pPr>
              <w:jc w:val="center"/>
              <w:rPr>
                <w:sz w:val="20"/>
                <w:szCs w:val="20"/>
              </w:rPr>
            </w:pPr>
            <w:r>
              <w:rPr>
                <w:sz w:val="20"/>
                <w:szCs w:val="20"/>
              </w:rPr>
              <w:t>-19,5%</w:t>
            </w:r>
          </w:p>
        </w:tc>
        <w:tc>
          <w:tcPr>
            <w:tcW w:w="1140" w:type="dxa"/>
            <w:vAlign w:val="center"/>
          </w:tcPr>
          <w:p w:rsidR="00773E2C" w:rsidRDefault="00805665">
            <w:pPr>
              <w:jc w:val="center"/>
              <w:rPr>
                <w:sz w:val="20"/>
                <w:szCs w:val="20"/>
              </w:rPr>
            </w:pPr>
            <w:r>
              <w:rPr>
                <w:sz w:val="20"/>
                <w:szCs w:val="20"/>
              </w:rPr>
              <w:t>5,5</w:t>
            </w:r>
          </w:p>
        </w:tc>
        <w:tc>
          <w:tcPr>
            <w:tcW w:w="1140" w:type="dxa"/>
            <w:vAlign w:val="center"/>
          </w:tcPr>
          <w:p w:rsidR="00773E2C" w:rsidRDefault="00805665">
            <w:pPr>
              <w:jc w:val="center"/>
              <w:rPr>
                <w:sz w:val="20"/>
                <w:szCs w:val="20"/>
              </w:rPr>
            </w:pPr>
            <w:r>
              <w:rPr>
                <w:sz w:val="20"/>
                <w:szCs w:val="20"/>
              </w:rPr>
              <w:t>-42,1%</w:t>
            </w:r>
          </w:p>
        </w:tc>
        <w:tc>
          <w:tcPr>
            <w:tcW w:w="1140" w:type="dxa"/>
            <w:vAlign w:val="center"/>
          </w:tcPr>
          <w:p w:rsidR="00773E2C" w:rsidRDefault="00805665">
            <w:pPr>
              <w:jc w:val="center"/>
              <w:rPr>
                <w:sz w:val="20"/>
                <w:szCs w:val="20"/>
              </w:rPr>
            </w:pPr>
            <w:r>
              <w:rPr>
                <w:sz w:val="20"/>
                <w:szCs w:val="20"/>
              </w:rPr>
              <w:t>10,0</w:t>
            </w:r>
          </w:p>
        </w:tc>
        <w:tc>
          <w:tcPr>
            <w:tcW w:w="1140" w:type="dxa"/>
            <w:vAlign w:val="center"/>
          </w:tcPr>
          <w:p w:rsidR="00773E2C" w:rsidRDefault="00805665">
            <w:pPr>
              <w:jc w:val="center"/>
              <w:rPr>
                <w:sz w:val="20"/>
                <w:szCs w:val="20"/>
              </w:rPr>
            </w:pPr>
            <w:r>
              <w:rPr>
                <w:sz w:val="20"/>
                <w:szCs w:val="20"/>
              </w:rPr>
              <w:t>81,8%</w:t>
            </w:r>
          </w:p>
        </w:tc>
      </w:tr>
      <w:tr w:rsidR="00773E2C">
        <w:tc>
          <w:tcPr>
            <w:tcW w:w="2977" w:type="dxa"/>
            <w:shd w:val="clear" w:color="auto" w:fill="auto"/>
            <w:vAlign w:val="center"/>
          </w:tcPr>
          <w:p w:rsidR="00773E2C" w:rsidRDefault="00805665">
            <w:pPr>
              <w:autoSpaceDE w:val="0"/>
              <w:autoSpaceDN w:val="0"/>
              <w:adjustRightInd w:val="0"/>
              <w:rPr>
                <w:bCs/>
                <w:sz w:val="20"/>
                <w:szCs w:val="20"/>
              </w:rPr>
            </w:pPr>
            <w:r>
              <w:rPr>
                <w:bCs/>
                <w:sz w:val="20"/>
                <w:szCs w:val="20"/>
              </w:rPr>
              <w:t>Чистые доходы от операций с иностранной валютой (включая переоценку), млрд руб.</w:t>
            </w:r>
          </w:p>
        </w:tc>
        <w:tc>
          <w:tcPr>
            <w:tcW w:w="1140" w:type="dxa"/>
            <w:shd w:val="clear" w:color="auto" w:fill="auto"/>
            <w:vAlign w:val="center"/>
          </w:tcPr>
          <w:p w:rsidR="00773E2C" w:rsidRDefault="00805665">
            <w:pPr>
              <w:jc w:val="center"/>
              <w:rPr>
                <w:sz w:val="20"/>
                <w:szCs w:val="20"/>
              </w:rPr>
            </w:pPr>
            <w:r>
              <w:rPr>
                <w:sz w:val="20"/>
                <w:szCs w:val="20"/>
              </w:rPr>
              <w:t>6,2</w:t>
            </w:r>
          </w:p>
        </w:tc>
        <w:tc>
          <w:tcPr>
            <w:tcW w:w="1140" w:type="dxa"/>
            <w:shd w:val="clear" w:color="auto" w:fill="auto"/>
            <w:vAlign w:val="center"/>
          </w:tcPr>
          <w:p w:rsidR="00773E2C" w:rsidRDefault="00805665">
            <w:pPr>
              <w:jc w:val="center"/>
              <w:rPr>
                <w:sz w:val="20"/>
                <w:szCs w:val="20"/>
              </w:rPr>
            </w:pPr>
            <w:r>
              <w:rPr>
                <w:sz w:val="20"/>
                <w:szCs w:val="20"/>
              </w:rPr>
              <w:t>-45,6%</w:t>
            </w:r>
          </w:p>
        </w:tc>
        <w:tc>
          <w:tcPr>
            <w:tcW w:w="1140" w:type="dxa"/>
            <w:vAlign w:val="center"/>
          </w:tcPr>
          <w:p w:rsidR="00773E2C" w:rsidRDefault="00805665">
            <w:pPr>
              <w:jc w:val="center"/>
              <w:rPr>
                <w:sz w:val="20"/>
                <w:szCs w:val="20"/>
              </w:rPr>
            </w:pPr>
            <w:r>
              <w:rPr>
                <w:sz w:val="20"/>
                <w:szCs w:val="20"/>
              </w:rPr>
              <w:t>4,7</w:t>
            </w:r>
          </w:p>
        </w:tc>
        <w:tc>
          <w:tcPr>
            <w:tcW w:w="1140" w:type="dxa"/>
            <w:vAlign w:val="center"/>
          </w:tcPr>
          <w:p w:rsidR="00773E2C" w:rsidRDefault="00805665">
            <w:pPr>
              <w:jc w:val="center"/>
              <w:rPr>
                <w:sz w:val="20"/>
                <w:szCs w:val="20"/>
              </w:rPr>
            </w:pPr>
            <w:r>
              <w:rPr>
                <w:sz w:val="20"/>
                <w:szCs w:val="20"/>
              </w:rPr>
              <w:t>-24,2%</w:t>
            </w:r>
          </w:p>
        </w:tc>
        <w:tc>
          <w:tcPr>
            <w:tcW w:w="1140" w:type="dxa"/>
            <w:vAlign w:val="center"/>
          </w:tcPr>
          <w:p w:rsidR="00773E2C" w:rsidRDefault="00805665">
            <w:pPr>
              <w:jc w:val="center"/>
              <w:rPr>
                <w:sz w:val="20"/>
                <w:szCs w:val="20"/>
              </w:rPr>
            </w:pPr>
            <w:r>
              <w:rPr>
                <w:sz w:val="20"/>
                <w:szCs w:val="20"/>
              </w:rPr>
              <w:t>-9,6</w:t>
            </w:r>
          </w:p>
        </w:tc>
        <w:tc>
          <w:tcPr>
            <w:tcW w:w="1140" w:type="dxa"/>
            <w:vAlign w:val="center"/>
          </w:tcPr>
          <w:p w:rsidR="00773E2C" w:rsidRDefault="00805665">
            <w:pPr>
              <w:jc w:val="center"/>
              <w:rPr>
                <w:sz w:val="20"/>
                <w:szCs w:val="20"/>
              </w:rPr>
            </w:pPr>
            <w:r>
              <w:rPr>
                <w:sz w:val="20"/>
                <w:szCs w:val="20"/>
              </w:rPr>
              <w:t>-304,3%</w:t>
            </w:r>
          </w:p>
        </w:tc>
      </w:tr>
      <w:tr w:rsidR="00773E2C">
        <w:tc>
          <w:tcPr>
            <w:tcW w:w="2977" w:type="dxa"/>
            <w:shd w:val="clear" w:color="auto" w:fill="auto"/>
            <w:vAlign w:val="center"/>
          </w:tcPr>
          <w:p w:rsidR="00773E2C" w:rsidRDefault="00805665">
            <w:pPr>
              <w:autoSpaceDE w:val="0"/>
              <w:autoSpaceDN w:val="0"/>
              <w:adjustRightInd w:val="0"/>
              <w:rPr>
                <w:bCs/>
                <w:sz w:val="20"/>
                <w:szCs w:val="20"/>
              </w:rPr>
            </w:pPr>
            <w:r>
              <w:rPr>
                <w:bCs/>
                <w:sz w:val="20"/>
                <w:szCs w:val="20"/>
              </w:rPr>
              <w:t>Сумма начисленных и уплаченных налогов и платежей во внебюджетные фонды, млн руб., в том числе:</w:t>
            </w:r>
          </w:p>
        </w:tc>
        <w:tc>
          <w:tcPr>
            <w:tcW w:w="1140" w:type="dxa"/>
            <w:shd w:val="clear" w:color="auto" w:fill="auto"/>
            <w:vAlign w:val="center"/>
          </w:tcPr>
          <w:p w:rsidR="00773E2C" w:rsidRDefault="00805665">
            <w:pPr>
              <w:jc w:val="center"/>
              <w:rPr>
                <w:sz w:val="20"/>
                <w:szCs w:val="20"/>
              </w:rPr>
            </w:pPr>
            <w:r>
              <w:rPr>
                <w:sz w:val="20"/>
                <w:szCs w:val="20"/>
              </w:rPr>
              <w:t>7 803,4</w:t>
            </w:r>
          </w:p>
        </w:tc>
        <w:tc>
          <w:tcPr>
            <w:tcW w:w="1140" w:type="dxa"/>
            <w:shd w:val="clear" w:color="auto" w:fill="auto"/>
            <w:vAlign w:val="center"/>
          </w:tcPr>
          <w:p w:rsidR="00773E2C" w:rsidRDefault="00805665">
            <w:pPr>
              <w:jc w:val="center"/>
              <w:rPr>
                <w:sz w:val="20"/>
                <w:szCs w:val="20"/>
              </w:rPr>
            </w:pPr>
            <w:r>
              <w:rPr>
                <w:sz w:val="20"/>
                <w:szCs w:val="20"/>
              </w:rPr>
              <w:t>42,0%</w:t>
            </w:r>
          </w:p>
        </w:tc>
        <w:tc>
          <w:tcPr>
            <w:tcW w:w="1140" w:type="dxa"/>
            <w:vAlign w:val="center"/>
          </w:tcPr>
          <w:p w:rsidR="00773E2C" w:rsidRDefault="00805665">
            <w:pPr>
              <w:jc w:val="center"/>
              <w:rPr>
                <w:sz w:val="20"/>
                <w:szCs w:val="20"/>
              </w:rPr>
            </w:pPr>
            <w:r>
              <w:rPr>
                <w:sz w:val="20"/>
                <w:szCs w:val="20"/>
              </w:rPr>
              <w:t>5 177,0</w:t>
            </w:r>
          </w:p>
        </w:tc>
        <w:tc>
          <w:tcPr>
            <w:tcW w:w="1140" w:type="dxa"/>
            <w:vAlign w:val="center"/>
          </w:tcPr>
          <w:p w:rsidR="00773E2C" w:rsidRDefault="00805665">
            <w:pPr>
              <w:jc w:val="center"/>
              <w:rPr>
                <w:sz w:val="20"/>
                <w:szCs w:val="20"/>
              </w:rPr>
            </w:pPr>
            <w:r>
              <w:rPr>
                <w:sz w:val="20"/>
                <w:szCs w:val="20"/>
              </w:rPr>
              <w:t>-33,7%</w:t>
            </w:r>
          </w:p>
        </w:tc>
        <w:tc>
          <w:tcPr>
            <w:tcW w:w="1140" w:type="dxa"/>
            <w:vAlign w:val="center"/>
          </w:tcPr>
          <w:p w:rsidR="00773E2C" w:rsidRDefault="00805665">
            <w:pPr>
              <w:jc w:val="center"/>
              <w:rPr>
                <w:sz w:val="20"/>
                <w:szCs w:val="20"/>
              </w:rPr>
            </w:pPr>
            <w:r>
              <w:rPr>
                <w:sz w:val="20"/>
                <w:szCs w:val="20"/>
              </w:rPr>
              <w:t>9 482,9</w:t>
            </w:r>
          </w:p>
        </w:tc>
        <w:tc>
          <w:tcPr>
            <w:tcW w:w="1140" w:type="dxa"/>
            <w:vAlign w:val="center"/>
          </w:tcPr>
          <w:p w:rsidR="00773E2C" w:rsidRDefault="00805665">
            <w:pPr>
              <w:jc w:val="center"/>
              <w:rPr>
                <w:sz w:val="20"/>
                <w:szCs w:val="20"/>
              </w:rPr>
            </w:pPr>
            <w:r>
              <w:rPr>
                <w:sz w:val="20"/>
                <w:szCs w:val="20"/>
              </w:rPr>
              <w:t>83,2%</w:t>
            </w:r>
          </w:p>
        </w:tc>
      </w:tr>
      <w:tr w:rsidR="00773E2C">
        <w:trPr>
          <w:trHeight w:val="283"/>
        </w:trPr>
        <w:tc>
          <w:tcPr>
            <w:tcW w:w="2977" w:type="dxa"/>
            <w:shd w:val="clear" w:color="auto" w:fill="auto"/>
            <w:vAlign w:val="center"/>
          </w:tcPr>
          <w:p w:rsidR="00773E2C" w:rsidRDefault="00805665">
            <w:pPr>
              <w:autoSpaceDE w:val="0"/>
              <w:autoSpaceDN w:val="0"/>
              <w:adjustRightInd w:val="0"/>
              <w:rPr>
                <w:bCs/>
                <w:sz w:val="20"/>
                <w:szCs w:val="20"/>
              </w:rPr>
            </w:pPr>
            <w:r>
              <w:rPr>
                <w:bCs/>
                <w:sz w:val="20"/>
                <w:szCs w:val="20"/>
              </w:rPr>
              <w:t>- налог на прибыль</w:t>
            </w:r>
          </w:p>
        </w:tc>
        <w:tc>
          <w:tcPr>
            <w:tcW w:w="1140" w:type="dxa"/>
            <w:shd w:val="clear" w:color="auto" w:fill="auto"/>
            <w:vAlign w:val="center"/>
          </w:tcPr>
          <w:p w:rsidR="00773E2C" w:rsidRDefault="00805665">
            <w:pPr>
              <w:jc w:val="center"/>
              <w:rPr>
                <w:iCs/>
                <w:sz w:val="20"/>
                <w:szCs w:val="20"/>
              </w:rPr>
            </w:pPr>
            <w:r>
              <w:rPr>
                <w:iCs/>
                <w:sz w:val="20"/>
                <w:szCs w:val="20"/>
              </w:rPr>
              <w:t>1 502,5</w:t>
            </w:r>
          </w:p>
        </w:tc>
        <w:tc>
          <w:tcPr>
            <w:tcW w:w="1140" w:type="dxa"/>
            <w:shd w:val="clear" w:color="auto" w:fill="auto"/>
            <w:vAlign w:val="center"/>
          </w:tcPr>
          <w:p w:rsidR="00773E2C" w:rsidRDefault="00805665">
            <w:pPr>
              <w:jc w:val="center"/>
              <w:rPr>
                <w:iCs/>
                <w:sz w:val="20"/>
                <w:szCs w:val="20"/>
              </w:rPr>
            </w:pPr>
            <w:r>
              <w:rPr>
                <w:iCs/>
                <w:sz w:val="20"/>
                <w:szCs w:val="20"/>
              </w:rPr>
              <w:t>102,5%</w:t>
            </w:r>
          </w:p>
        </w:tc>
        <w:tc>
          <w:tcPr>
            <w:tcW w:w="1140" w:type="dxa"/>
            <w:vAlign w:val="center"/>
          </w:tcPr>
          <w:p w:rsidR="00773E2C" w:rsidRDefault="00805665">
            <w:pPr>
              <w:jc w:val="center"/>
              <w:rPr>
                <w:iCs/>
                <w:sz w:val="20"/>
                <w:szCs w:val="20"/>
              </w:rPr>
            </w:pPr>
            <w:r>
              <w:rPr>
                <w:iCs/>
                <w:sz w:val="20"/>
                <w:szCs w:val="20"/>
              </w:rPr>
              <w:t>2 261,0</w:t>
            </w:r>
          </w:p>
        </w:tc>
        <w:tc>
          <w:tcPr>
            <w:tcW w:w="1140" w:type="dxa"/>
            <w:vAlign w:val="center"/>
          </w:tcPr>
          <w:p w:rsidR="00773E2C" w:rsidRDefault="00805665">
            <w:pPr>
              <w:jc w:val="center"/>
              <w:rPr>
                <w:iCs/>
                <w:sz w:val="20"/>
                <w:szCs w:val="20"/>
              </w:rPr>
            </w:pPr>
            <w:r>
              <w:rPr>
                <w:iCs/>
                <w:sz w:val="20"/>
                <w:szCs w:val="20"/>
              </w:rPr>
              <w:t>50,5%</w:t>
            </w:r>
          </w:p>
        </w:tc>
        <w:tc>
          <w:tcPr>
            <w:tcW w:w="1140" w:type="dxa"/>
            <w:vAlign w:val="center"/>
          </w:tcPr>
          <w:p w:rsidR="00773E2C" w:rsidRDefault="00805665">
            <w:pPr>
              <w:jc w:val="center"/>
              <w:rPr>
                <w:iCs/>
                <w:sz w:val="20"/>
                <w:szCs w:val="20"/>
              </w:rPr>
            </w:pPr>
            <w:r>
              <w:rPr>
                <w:iCs/>
                <w:sz w:val="20"/>
                <w:szCs w:val="20"/>
              </w:rPr>
              <w:t>3 290,6</w:t>
            </w:r>
          </w:p>
        </w:tc>
        <w:tc>
          <w:tcPr>
            <w:tcW w:w="1140" w:type="dxa"/>
            <w:vAlign w:val="center"/>
          </w:tcPr>
          <w:p w:rsidR="00773E2C" w:rsidRDefault="00805665">
            <w:pPr>
              <w:jc w:val="center"/>
              <w:rPr>
                <w:iCs/>
                <w:sz w:val="20"/>
                <w:szCs w:val="20"/>
              </w:rPr>
            </w:pPr>
            <w:r>
              <w:rPr>
                <w:iCs/>
                <w:sz w:val="20"/>
                <w:szCs w:val="20"/>
              </w:rPr>
              <w:t>45,5%</w:t>
            </w:r>
          </w:p>
        </w:tc>
      </w:tr>
      <w:tr w:rsidR="00773E2C">
        <w:trPr>
          <w:trHeight w:val="283"/>
        </w:trPr>
        <w:tc>
          <w:tcPr>
            <w:tcW w:w="2977" w:type="dxa"/>
            <w:shd w:val="clear" w:color="auto" w:fill="auto"/>
            <w:vAlign w:val="center"/>
          </w:tcPr>
          <w:p w:rsidR="00773E2C" w:rsidRDefault="00805665">
            <w:pPr>
              <w:autoSpaceDE w:val="0"/>
              <w:autoSpaceDN w:val="0"/>
              <w:adjustRightInd w:val="0"/>
              <w:rPr>
                <w:bCs/>
                <w:sz w:val="20"/>
                <w:szCs w:val="20"/>
              </w:rPr>
            </w:pPr>
            <w:r>
              <w:rPr>
                <w:bCs/>
                <w:sz w:val="20"/>
                <w:szCs w:val="20"/>
              </w:rPr>
              <w:t>- изменение отложенного налога на прибыль</w:t>
            </w:r>
          </w:p>
        </w:tc>
        <w:tc>
          <w:tcPr>
            <w:tcW w:w="1140" w:type="dxa"/>
            <w:shd w:val="clear" w:color="auto" w:fill="auto"/>
            <w:vAlign w:val="center"/>
          </w:tcPr>
          <w:p w:rsidR="00773E2C" w:rsidRDefault="00805665">
            <w:pPr>
              <w:jc w:val="center"/>
              <w:rPr>
                <w:iCs/>
                <w:sz w:val="20"/>
                <w:szCs w:val="20"/>
              </w:rPr>
            </w:pPr>
            <w:r>
              <w:rPr>
                <w:iCs/>
                <w:sz w:val="20"/>
                <w:szCs w:val="20"/>
              </w:rPr>
              <w:t>1 105,4</w:t>
            </w:r>
          </w:p>
        </w:tc>
        <w:tc>
          <w:tcPr>
            <w:tcW w:w="1140" w:type="dxa"/>
            <w:shd w:val="clear" w:color="auto" w:fill="auto"/>
            <w:vAlign w:val="center"/>
          </w:tcPr>
          <w:p w:rsidR="00773E2C" w:rsidRDefault="00805665">
            <w:pPr>
              <w:jc w:val="center"/>
              <w:rPr>
                <w:iCs/>
                <w:sz w:val="20"/>
                <w:szCs w:val="20"/>
              </w:rPr>
            </w:pPr>
            <w:r>
              <w:rPr>
                <w:iCs/>
                <w:sz w:val="20"/>
                <w:szCs w:val="20"/>
              </w:rPr>
              <w:t>-18883,2%</w:t>
            </w:r>
          </w:p>
        </w:tc>
        <w:tc>
          <w:tcPr>
            <w:tcW w:w="1140" w:type="dxa"/>
            <w:vAlign w:val="center"/>
          </w:tcPr>
          <w:p w:rsidR="00773E2C" w:rsidRDefault="00805665">
            <w:pPr>
              <w:jc w:val="center"/>
              <w:rPr>
                <w:iCs/>
                <w:sz w:val="20"/>
                <w:szCs w:val="20"/>
              </w:rPr>
            </w:pPr>
            <w:r>
              <w:rPr>
                <w:iCs/>
                <w:sz w:val="20"/>
                <w:szCs w:val="20"/>
              </w:rPr>
              <w:t>-2 624,8</w:t>
            </w:r>
          </w:p>
        </w:tc>
        <w:tc>
          <w:tcPr>
            <w:tcW w:w="1140" w:type="dxa"/>
            <w:vAlign w:val="center"/>
          </w:tcPr>
          <w:p w:rsidR="00773E2C" w:rsidRDefault="00805665">
            <w:pPr>
              <w:jc w:val="center"/>
              <w:rPr>
                <w:iCs/>
                <w:sz w:val="20"/>
                <w:szCs w:val="20"/>
              </w:rPr>
            </w:pPr>
            <w:r>
              <w:rPr>
                <w:iCs/>
                <w:sz w:val="20"/>
                <w:szCs w:val="20"/>
              </w:rPr>
              <w:t>-337,5%</w:t>
            </w:r>
          </w:p>
        </w:tc>
        <w:tc>
          <w:tcPr>
            <w:tcW w:w="1140" w:type="dxa"/>
            <w:vAlign w:val="center"/>
          </w:tcPr>
          <w:p w:rsidR="00773E2C" w:rsidRDefault="00805665">
            <w:pPr>
              <w:jc w:val="center"/>
              <w:rPr>
                <w:iCs/>
                <w:sz w:val="20"/>
                <w:szCs w:val="20"/>
              </w:rPr>
            </w:pPr>
            <w:r>
              <w:rPr>
                <w:iCs/>
                <w:sz w:val="20"/>
                <w:szCs w:val="20"/>
              </w:rPr>
              <w:t>-267,2</w:t>
            </w:r>
          </w:p>
        </w:tc>
        <w:tc>
          <w:tcPr>
            <w:tcW w:w="1140" w:type="dxa"/>
            <w:vAlign w:val="center"/>
          </w:tcPr>
          <w:p w:rsidR="00773E2C" w:rsidRDefault="00805665">
            <w:pPr>
              <w:jc w:val="center"/>
              <w:rPr>
                <w:iCs/>
                <w:sz w:val="20"/>
                <w:szCs w:val="20"/>
              </w:rPr>
            </w:pPr>
            <w:r>
              <w:rPr>
                <w:iCs/>
                <w:sz w:val="20"/>
                <w:szCs w:val="20"/>
              </w:rPr>
              <w:t>-89,8%</w:t>
            </w:r>
          </w:p>
        </w:tc>
      </w:tr>
      <w:tr w:rsidR="00773E2C">
        <w:trPr>
          <w:trHeight w:val="338"/>
        </w:trPr>
        <w:tc>
          <w:tcPr>
            <w:tcW w:w="2977" w:type="dxa"/>
            <w:shd w:val="clear" w:color="auto" w:fill="auto"/>
            <w:vAlign w:val="center"/>
          </w:tcPr>
          <w:p w:rsidR="00773E2C" w:rsidRDefault="00805665">
            <w:pPr>
              <w:autoSpaceDE w:val="0"/>
              <w:autoSpaceDN w:val="0"/>
              <w:adjustRightInd w:val="0"/>
              <w:rPr>
                <w:bCs/>
                <w:sz w:val="20"/>
                <w:szCs w:val="20"/>
              </w:rPr>
            </w:pPr>
            <w:r>
              <w:rPr>
                <w:bCs/>
                <w:sz w:val="20"/>
                <w:szCs w:val="20"/>
              </w:rPr>
              <w:t>- налоги и сборы, относимые на расходы</w:t>
            </w:r>
          </w:p>
        </w:tc>
        <w:tc>
          <w:tcPr>
            <w:tcW w:w="1140" w:type="dxa"/>
            <w:shd w:val="clear" w:color="auto" w:fill="auto"/>
            <w:vAlign w:val="center"/>
          </w:tcPr>
          <w:p w:rsidR="00773E2C" w:rsidRDefault="00805665">
            <w:pPr>
              <w:jc w:val="center"/>
              <w:rPr>
                <w:iCs/>
                <w:sz w:val="20"/>
                <w:szCs w:val="20"/>
              </w:rPr>
            </w:pPr>
            <w:r>
              <w:rPr>
                <w:iCs/>
                <w:sz w:val="20"/>
                <w:szCs w:val="20"/>
              </w:rPr>
              <w:t>1 534,8</w:t>
            </w:r>
          </w:p>
        </w:tc>
        <w:tc>
          <w:tcPr>
            <w:tcW w:w="1140" w:type="dxa"/>
            <w:shd w:val="clear" w:color="auto" w:fill="auto"/>
            <w:vAlign w:val="center"/>
          </w:tcPr>
          <w:p w:rsidR="00773E2C" w:rsidRDefault="00805665">
            <w:pPr>
              <w:jc w:val="center"/>
              <w:rPr>
                <w:iCs/>
                <w:sz w:val="20"/>
                <w:szCs w:val="20"/>
              </w:rPr>
            </w:pPr>
            <w:r>
              <w:rPr>
                <w:iCs/>
                <w:sz w:val="20"/>
                <w:szCs w:val="20"/>
              </w:rPr>
              <w:t>8,1%</w:t>
            </w:r>
          </w:p>
        </w:tc>
        <w:tc>
          <w:tcPr>
            <w:tcW w:w="1140" w:type="dxa"/>
            <w:vAlign w:val="center"/>
          </w:tcPr>
          <w:p w:rsidR="00773E2C" w:rsidRDefault="00805665">
            <w:pPr>
              <w:jc w:val="center"/>
              <w:rPr>
                <w:iCs/>
                <w:sz w:val="20"/>
                <w:szCs w:val="20"/>
              </w:rPr>
            </w:pPr>
            <w:r>
              <w:rPr>
                <w:iCs/>
                <w:sz w:val="20"/>
                <w:szCs w:val="20"/>
              </w:rPr>
              <w:t>1 765,2</w:t>
            </w:r>
          </w:p>
        </w:tc>
        <w:tc>
          <w:tcPr>
            <w:tcW w:w="1140" w:type="dxa"/>
            <w:vAlign w:val="center"/>
          </w:tcPr>
          <w:p w:rsidR="00773E2C" w:rsidRDefault="00805665">
            <w:pPr>
              <w:jc w:val="center"/>
              <w:rPr>
                <w:iCs/>
                <w:sz w:val="20"/>
                <w:szCs w:val="20"/>
              </w:rPr>
            </w:pPr>
            <w:r>
              <w:rPr>
                <w:iCs/>
                <w:sz w:val="20"/>
                <w:szCs w:val="20"/>
              </w:rPr>
              <w:t>15,0%</w:t>
            </w:r>
          </w:p>
        </w:tc>
        <w:tc>
          <w:tcPr>
            <w:tcW w:w="1140" w:type="dxa"/>
            <w:vAlign w:val="center"/>
          </w:tcPr>
          <w:p w:rsidR="00773E2C" w:rsidRDefault="00805665">
            <w:pPr>
              <w:jc w:val="center"/>
              <w:rPr>
                <w:iCs/>
                <w:sz w:val="20"/>
                <w:szCs w:val="20"/>
              </w:rPr>
            </w:pPr>
            <w:r>
              <w:rPr>
                <w:iCs/>
                <w:sz w:val="20"/>
                <w:szCs w:val="20"/>
              </w:rPr>
              <w:t>1 737,0</w:t>
            </w:r>
          </w:p>
        </w:tc>
        <w:tc>
          <w:tcPr>
            <w:tcW w:w="1140" w:type="dxa"/>
            <w:vAlign w:val="center"/>
          </w:tcPr>
          <w:p w:rsidR="00773E2C" w:rsidRDefault="00805665">
            <w:pPr>
              <w:jc w:val="center"/>
              <w:rPr>
                <w:iCs/>
                <w:sz w:val="20"/>
                <w:szCs w:val="20"/>
              </w:rPr>
            </w:pPr>
            <w:r>
              <w:rPr>
                <w:iCs/>
                <w:sz w:val="20"/>
                <w:szCs w:val="20"/>
              </w:rPr>
              <w:t>-1,6%</w:t>
            </w:r>
          </w:p>
        </w:tc>
      </w:tr>
      <w:tr w:rsidR="00773E2C">
        <w:trPr>
          <w:trHeight w:val="283"/>
        </w:trPr>
        <w:tc>
          <w:tcPr>
            <w:tcW w:w="2977" w:type="dxa"/>
            <w:shd w:val="clear" w:color="auto" w:fill="auto"/>
            <w:vAlign w:val="center"/>
          </w:tcPr>
          <w:p w:rsidR="00773E2C" w:rsidRDefault="00805665">
            <w:pPr>
              <w:autoSpaceDE w:val="0"/>
              <w:autoSpaceDN w:val="0"/>
              <w:adjustRightInd w:val="0"/>
              <w:rPr>
                <w:bCs/>
                <w:sz w:val="20"/>
                <w:szCs w:val="20"/>
              </w:rPr>
            </w:pPr>
            <w:r>
              <w:rPr>
                <w:bCs/>
                <w:sz w:val="20"/>
                <w:szCs w:val="20"/>
              </w:rPr>
              <w:t>- налоги и отчисления по заработной плате</w:t>
            </w:r>
          </w:p>
        </w:tc>
        <w:tc>
          <w:tcPr>
            <w:tcW w:w="1140" w:type="dxa"/>
            <w:shd w:val="clear" w:color="auto" w:fill="auto"/>
            <w:vAlign w:val="center"/>
          </w:tcPr>
          <w:p w:rsidR="00773E2C" w:rsidRDefault="00805665">
            <w:pPr>
              <w:jc w:val="center"/>
              <w:rPr>
                <w:iCs/>
                <w:sz w:val="20"/>
                <w:szCs w:val="20"/>
              </w:rPr>
            </w:pPr>
            <w:r>
              <w:rPr>
                <w:iCs/>
                <w:sz w:val="20"/>
                <w:szCs w:val="20"/>
              </w:rPr>
              <w:t>3 660,7</w:t>
            </w:r>
          </w:p>
        </w:tc>
        <w:tc>
          <w:tcPr>
            <w:tcW w:w="1140" w:type="dxa"/>
            <w:shd w:val="clear" w:color="auto" w:fill="auto"/>
            <w:vAlign w:val="center"/>
          </w:tcPr>
          <w:p w:rsidR="00773E2C" w:rsidRDefault="00805665">
            <w:pPr>
              <w:jc w:val="center"/>
              <w:rPr>
                <w:iCs/>
                <w:sz w:val="20"/>
                <w:szCs w:val="20"/>
              </w:rPr>
            </w:pPr>
            <w:r>
              <w:rPr>
                <w:iCs/>
                <w:sz w:val="20"/>
                <w:szCs w:val="20"/>
              </w:rPr>
              <w:t>9,6%</w:t>
            </w:r>
          </w:p>
        </w:tc>
        <w:tc>
          <w:tcPr>
            <w:tcW w:w="1140" w:type="dxa"/>
            <w:vAlign w:val="center"/>
          </w:tcPr>
          <w:p w:rsidR="00773E2C" w:rsidRDefault="00805665">
            <w:pPr>
              <w:jc w:val="center"/>
              <w:rPr>
                <w:iCs/>
                <w:sz w:val="20"/>
                <w:szCs w:val="20"/>
              </w:rPr>
            </w:pPr>
            <w:r>
              <w:rPr>
                <w:iCs/>
                <w:sz w:val="20"/>
                <w:szCs w:val="20"/>
              </w:rPr>
              <w:t>3 775,6</w:t>
            </w:r>
          </w:p>
        </w:tc>
        <w:tc>
          <w:tcPr>
            <w:tcW w:w="1140" w:type="dxa"/>
            <w:vAlign w:val="center"/>
          </w:tcPr>
          <w:p w:rsidR="00773E2C" w:rsidRDefault="00805665">
            <w:pPr>
              <w:jc w:val="center"/>
              <w:rPr>
                <w:iCs/>
                <w:sz w:val="20"/>
                <w:szCs w:val="20"/>
              </w:rPr>
            </w:pPr>
            <w:r>
              <w:rPr>
                <w:iCs/>
                <w:sz w:val="20"/>
                <w:szCs w:val="20"/>
              </w:rPr>
              <w:t>3,1%</w:t>
            </w:r>
          </w:p>
        </w:tc>
        <w:tc>
          <w:tcPr>
            <w:tcW w:w="1140" w:type="dxa"/>
            <w:vAlign w:val="center"/>
          </w:tcPr>
          <w:p w:rsidR="00773E2C" w:rsidRDefault="00805665">
            <w:pPr>
              <w:jc w:val="center"/>
              <w:rPr>
                <w:iCs/>
                <w:sz w:val="20"/>
                <w:szCs w:val="20"/>
              </w:rPr>
            </w:pPr>
            <w:r>
              <w:rPr>
                <w:iCs/>
                <w:sz w:val="20"/>
                <w:szCs w:val="20"/>
              </w:rPr>
              <w:t>4 722,5</w:t>
            </w:r>
          </w:p>
        </w:tc>
        <w:tc>
          <w:tcPr>
            <w:tcW w:w="1140" w:type="dxa"/>
            <w:vAlign w:val="center"/>
          </w:tcPr>
          <w:p w:rsidR="00773E2C" w:rsidRDefault="00805665">
            <w:pPr>
              <w:jc w:val="center"/>
              <w:rPr>
                <w:iCs/>
                <w:sz w:val="20"/>
                <w:szCs w:val="20"/>
              </w:rPr>
            </w:pPr>
            <w:r>
              <w:rPr>
                <w:iCs/>
                <w:sz w:val="20"/>
                <w:szCs w:val="20"/>
              </w:rPr>
              <w:t>25,1%</w:t>
            </w:r>
          </w:p>
        </w:tc>
      </w:tr>
    </w:tbl>
    <w:p w:rsidR="00773E2C" w:rsidRDefault="00805665">
      <w:pPr>
        <w:tabs>
          <w:tab w:val="left" w:pos="1260"/>
        </w:tabs>
        <w:ind w:firstLine="567"/>
        <w:jc w:val="both"/>
        <w:rPr>
          <w:rFonts w:eastAsia="Calibri"/>
          <w:i/>
          <w:sz w:val="20"/>
          <w:szCs w:val="20"/>
          <w:lang w:eastAsia="en-US"/>
        </w:rPr>
      </w:pPr>
      <w:r>
        <w:rPr>
          <w:rFonts w:eastAsia="Calibri"/>
          <w:b/>
          <w:i/>
          <w:sz w:val="20"/>
          <w:szCs w:val="20"/>
          <w:lang w:eastAsia="en-US"/>
        </w:rPr>
        <w:t>*Примечание:</w:t>
      </w:r>
      <w:r>
        <w:rPr>
          <w:rFonts w:eastAsia="Calibri"/>
          <w:i/>
          <w:sz w:val="20"/>
          <w:szCs w:val="20"/>
          <w:lang w:eastAsia="en-US"/>
        </w:rPr>
        <w:t xml:space="preserve"> финансовые показатели представлены в абсолютном и относительном выражении. Относительные (процентные) </w:t>
      </w:r>
      <w:r w:rsidRPr="00904417">
        <w:rPr>
          <w:rFonts w:eastAsia="Calibri"/>
          <w:i/>
          <w:sz w:val="20"/>
          <w:szCs w:val="20"/>
          <w:lang w:eastAsia="en-US"/>
        </w:rPr>
        <w:t>показатели отражают динамику изменения по сравнению с предшествующим отчетным периодом.</w:t>
      </w:r>
    </w:p>
    <w:p w:rsidR="00773E2C" w:rsidRDefault="00773E2C">
      <w:pPr>
        <w:tabs>
          <w:tab w:val="left" w:pos="1260"/>
        </w:tabs>
        <w:ind w:firstLine="567"/>
        <w:jc w:val="both"/>
        <w:rPr>
          <w:rFonts w:eastAsia="Calibri"/>
          <w:sz w:val="22"/>
          <w:szCs w:val="22"/>
          <w:lang w:eastAsia="en-US"/>
        </w:rPr>
      </w:pPr>
    </w:p>
    <w:p w:rsidR="00773E2C" w:rsidRDefault="00805665">
      <w:pPr>
        <w:ind w:firstLine="567"/>
        <w:jc w:val="both"/>
        <w:rPr>
          <w:b/>
          <w:color w:val="000000"/>
          <w:sz w:val="22"/>
          <w:szCs w:val="22"/>
        </w:rPr>
      </w:pPr>
      <w:r>
        <w:rPr>
          <w:b/>
          <w:color w:val="000000"/>
          <w:sz w:val="22"/>
          <w:szCs w:val="22"/>
        </w:rPr>
        <w:t>Информация о реализации в отношении Банка мероприятий, связанных с Планом участия ГК «АСВ» и с Планом финансового оздоровления</w:t>
      </w:r>
    </w:p>
    <w:p w:rsidR="00773E2C" w:rsidRDefault="00773E2C">
      <w:pPr>
        <w:tabs>
          <w:tab w:val="left" w:pos="1260"/>
        </w:tabs>
        <w:ind w:firstLine="567"/>
        <w:jc w:val="both"/>
        <w:rPr>
          <w:rFonts w:eastAsia="Calibri"/>
          <w:sz w:val="22"/>
          <w:szCs w:val="22"/>
          <w:lang w:eastAsia="en-US"/>
        </w:rPr>
      </w:pPr>
    </w:p>
    <w:p w:rsidR="00773E2C" w:rsidRDefault="00805665">
      <w:pPr>
        <w:tabs>
          <w:tab w:val="left" w:pos="1260"/>
        </w:tabs>
        <w:ind w:firstLine="567"/>
        <w:jc w:val="both"/>
        <w:rPr>
          <w:rFonts w:eastAsia="Calibri"/>
          <w:sz w:val="22"/>
          <w:szCs w:val="22"/>
          <w:lang w:eastAsia="en-US"/>
        </w:rPr>
      </w:pPr>
      <w:r>
        <w:rPr>
          <w:rFonts w:eastAsia="Calibri"/>
          <w:sz w:val="22"/>
          <w:szCs w:val="22"/>
          <w:lang w:eastAsia="en-US"/>
        </w:rPr>
        <w:t xml:space="preserve">В 2015 году по результатам тематической инспекционной проверки ПАО «БАНК УРАЛСИБ» Межрегиональной инспекцией по Центральному Федеральному округу Главной инспекции Банка России, Банком были получены требования о </w:t>
      </w:r>
      <w:proofErr w:type="spellStart"/>
      <w:r>
        <w:rPr>
          <w:rFonts w:eastAsia="Calibri"/>
          <w:sz w:val="22"/>
          <w:szCs w:val="22"/>
          <w:lang w:eastAsia="en-US"/>
        </w:rPr>
        <w:t>досоздании</w:t>
      </w:r>
      <w:proofErr w:type="spellEnd"/>
      <w:r>
        <w:rPr>
          <w:rFonts w:eastAsia="Calibri"/>
          <w:sz w:val="22"/>
          <w:szCs w:val="22"/>
          <w:lang w:eastAsia="en-US"/>
        </w:rPr>
        <w:t xml:space="preserve"> резервов по ссудной задолженности, ценным бумагам, имеющимся в наличии для продажи, и прочим потерям.</w:t>
      </w:r>
    </w:p>
    <w:p w:rsidR="00773E2C" w:rsidRDefault="00805665">
      <w:pPr>
        <w:tabs>
          <w:tab w:val="left" w:pos="1260"/>
        </w:tabs>
        <w:ind w:firstLine="567"/>
        <w:jc w:val="both"/>
        <w:rPr>
          <w:rFonts w:eastAsia="Calibri"/>
          <w:sz w:val="22"/>
          <w:szCs w:val="22"/>
          <w:lang w:eastAsia="en-US"/>
        </w:rPr>
      </w:pPr>
      <w:r>
        <w:rPr>
          <w:rFonts w:eastAsia="Calibri"/>
          <w:sz w:val="22"/>
          <w:szCs w:val="22"/>
          <w:lang w:eastAsia="en-US"/>
        </w:rPr>
        <w:t>03 ноября 2015 года Совет директоров Банка России утвердил План участия Государственной корпорации «Агентство по страхованию вкладов» (далее по тексту – ГК «АСВ») в реализации мероприятий по финансовому оздоровлению ПАО «БАНК УРАЛСИБ» (далее по тексту – План участия), осуществляемых совместно с частным инвестором.</w:t>
      </w:r>
    </w:p>
    <w:p w:rsidR="00773E2C" w:rsidRDefault="00805665">
      <w:pPr>
        <w:tabs>
          <w:tab w:val="left" w:pos="1260"/>
        </w:tabs>
        <w:ind w:firstLine="567"/>
        <w:jc w:val="both"/>
        <w:rPr>
          <w:rFonts w:eastAsia="Calibri"/>
          <w:sz w:val="22"/>
          <w:szCs w:val="22"/>
          <w:lang w:eastAsia="en-US"/>
        </w:rPr>
      </w:pPr>
      <w:r>
        <w:rPr>
          <w:rFonts w:eastAsia="Calibri"/>
          <w:sz w:val="22"/>
          <w:szCs w:val="22"/>
          <w:lang w:eastAsia="en-US"/>
        </w:rPr>
        <w:t xml:space="preserve">22 декабря 2017 года Совет директоров Банка России утвердил подготовленный Банком План финансового оздоровления (далее по тексту – ПФО). ПФО был рассчитан на период до 2025 года и содержал перечень мероприятий, направленных на восстановление капитала до уровня, обеспечивающего адекватное покрытие принимаемых Банком рисков, в том числе соблюдение </w:t>
      </w:r>
      <w:r>
        <w:rPr>
          <w:rFonts w:eastAsia="Calibri"/>
          <w:sz w:val="22"/>
          <w:szCs w:val="22"/>
          <w:lang w:eastAsia="en-US"/>
        </w:rPr>
        <w:lastRenderedPageBreak/>
        <w:t>обязательных нормативов. ПФО включал в себя план работы с проблемными активами, частью которого являлось поэтапное формирование резервов на возможные потери.</w:t>
      </w:r>
    </w:p>
    <w:p w:rsidR="00773E2C" w:rsidRDefault="00805665">
      <w:pPr>
        <w:tabs>
          <w:tab w:val="left" w:pos="1260"/>
        </w:tabs>
        <w:ind w:firstLine="567"/>
        <w:jc w:val="both"/>
      </w:pPr>
      <w:r>
        <w:rPr>
          <w:sz w:val="22"/>
        </w:rPr>
        <w:t>16 февраля 2024 года ПАО «БАНК УРАЛСИБ» досрочно завершил процедуру финансового оздоровления в связи с опережающим выполнением мероприятий, установленных ПФО.</w:t>
      </w:r>
    </w:p>
    <w:p w:rsidR="00773E2C" w:rsidRPr="00651675" w:rsidRDefault="00805665">
      <w:pPr>
        <w:tabs>
          <w:tab w:val="left" w:pos="1260"/>
        </w:tabs>
        <w:ind w:firstLine="567"/>
        <w:jc w:val="both"/>
        <w:rPr>
          <w:sz w:val="22"/>
          <w:szCs w:val="22"/>
        </w:rPr>
      </w:pPr>
      <w:r w:rsidRPr="00651675">
        <w:rPr>
          <w:rFonts w:eastAsia="Calibri"/>
          <w:color w:val="000000" w:themeColor="text1"/>
          <w:sz w:val="22"/>
          <w:szCs w:val="22"/>
          <w:lang w:eastAsia="en-US"/>
        </w:rPr>
        <w:t xml:space="preserve">В ноябре 2025 Банк полностью исполнил </w:t>
      </w:r>
      <w:r w:rsidRPr="00651675">
        <w:rPr>
          <w:sz w:val="22"/>
          <w:szCs w:val="22"/>
        </w:rPr>
        <w:t>свои обязательства перед ГК «АСВ» погасив займы, выданные в соответствии с утвержденным Советом директоров Банка России Планом участия.</w:t>
      </w:r>
    </w:p>
    <w:p w:rsidR="00773E2C" w:rsidRDefault="00773E2C">
      <w:pPr>
        <w:pStyle w:val="aff2"/>
        <w:ind w:firstLine="567"/>
        <w:jc w:val="both"/>
        <w:rPr>
          <w:rFonts w:eastAsia="Calibri"/>
          <w:szCs w:val="22"/>
          <w:lang w:eastAsia="en-US"/>
        </w:rPr>
      </w:pPr>
    </w:p>
    <w:p w:rsidR="00773E2C" w:rsidRDefault="00805665">
      <w:pPr>
        <w:keepNext/>
        <w:ind w:firstLine="567"/>
        <w:jc w:val="both"/>
        <w:outlineLvl w:val="1"/>
        <w:rPr>
          <w:b/>
          <w:bCs/>
          <w:sz w:val="22"/>
          <w:szCs w:val="22"/>
        </w:rPr>
      </w:pPr>
      <w:bookmarkStart w:id="11" w:name="_Toc229052188"/>
      <w:r>
        <w:rPr>
          <w:b/>
          <w:bCs/>
          <w:sz w:val="22"/>
          <w:szCs w:val="22"/>
        </w:rPr>
        <w:t>3.3</w:t>
      </w:r>
      <w:r w:rsidR="009B7C78">
        <w:rPr>
          <w:b/>
          <w:bCs/>
          <w:sz w:val="22"/>
          <w:szCs w:val="22"/>
        </w:rPr>
        <w:t>.</w:t>
      </w:r>
      <w:r>
        <w:rPr>
          <w:b/>
          <w:bCs/>
          <w:sz w:val="22"/>
          <w:szCs w:val="22"/>
        </w:rPr>
        <w:t> Перспективы развития</w:t>
      </w:r>
      <w:bookmarkEnd w:id="11"/>
    </w:p>
    <w:p w:rsidR="00773E2C" w:rsidRDefault="00773E2C">
      <w:pPr>
        <w:tabs>
          <w:tab w:val="left" w:pos="1260"/>
        </w:tabs>
        <w:ind w:firstLine="567"/>
        <w:jc w:val="both"/>
        <w:rPr>
          <w:rFonts w:eastAsia="Calibri"/>
          <w:sz w:val="22"/>
          <w:szCs w:val="22"/>
          <w:lang w:eastAsia="en-US"/>
        </w:rPr>
      </w:pPr>
    </w:p>
    <w:p w:rsidR="00773E2C" w:rsidRDefault="00805665">
      <w:pPr>
        <w:tabs>
          <w:tab w:val="left" w:pos="1260"/>
        </w:tabs>
        <w:ind w:firstLine="567"/>
        <w:jc w:val="both"/>
        <w:rPr>
          <w:rFonts w:eastAsia="Calibri"/>
          <w:sz w:val="22"/>
          <w:szCs w:val="22"/>
          <w:lang w:eastAsia="en-US"/>
        </w:rPr>
      </w:pPr>
      <w:r>
        <w:rPr>
          <w:rFonts w:eastAsia="Calibri"/>
          <w:sz w:val="22"/>
          <w:szCs w:val="22"/>
          <w:lang w:eastAsia="en-US"/>
        </w:rPr>
        <w:t>В 2024 году в Банке была утверждена стратегия на период 2024 – 2026 годы. В этот новый стратегический цикл Банк вошел после завершения санации, снова выступая на правах самостоятельного рыночного игрока.</w:t>
      </w:r>
    </w:p>
    <w:p w:rsidR="00773E2C" w:rsidRDefault="00805665">
      <w:pPr>
        <w:tabs>
          <w:tab w:val="left" w:pos="1260"/>
        </w:tabs>
        <w:ind w:firstLine="567"/>
        <w:jc w:val="both"/>
        <w:rPr>
          <w:rFonts w:eastAsia="Calibri"/>
          <w:sz w:val="22"/>
          <w:szCs w:val="22"/>
          <w:lang w:eastAsia="en-US"/>
        </w:rPr>
      </w:pPr>
      <w:r>
        <w:rPr>
          <w:rFonts w:eastAsia="Calibri"/>
          <w:sz w:val="22"/>
          <w:szCs w:val="22"/>
          <w:lang w:eastAsia="en-US"/>
        </w:rPr>
        <w:t xml:space="preserve">Стратегия на 2024 – 2026 годы ставит целью дальнейшее развитие в направлениях, которые были выделены как ключевые в 2021 – 2023 годах. Приоритетом остается обеспечение условий для получения стабильно высокой доходности на капитал акционеров в рамках универсальной модели с фокусом на развитии розничного бизнеса, а также сегмента малого и среднего бизнеса. Залогом успеха при реализации новой стратегии выступают рост и повышение качества клиентской базы, достигаемые благодаря развитию технологий, внедрению новых продуктов, реализуемых через цифровые каналы, и инвестициям в продвижение и продажи. Недавно проведенные </w:t>
      </w:r>
      <w:proofErr w:type="spellStart"/>
      <w:r>
        <w:rPr>
          <w:rFonts w:eastAsia="Calibri"/>
          <w:sz w:val="22"/>
          <w:szCs w:val="22"/>
          <w:lang w:eastAsia="en-US"/>
        </w:rPr>
        <w:t>ребрендинг</w:t>
      </w:r>
      <w:proofErr w:type="spellEnd"/>
      <w:r>
        <w:rPr>
          <w:rFonts w:eastAsia="Calibri"/>
          <w:sz w:val="22"/>
          <w:szCs w:val="22"/>
          <w:lang w:eastAsia="en-US"/>
        </w:rPr>
        <w:t>, обновление офисной сети, трансформация электронных каналов и оптимизация процессов обслуживания обеспечивают Банк платформой для решения этих задач.</w:t>
      </w:r>
    </w:p>
    <w:p w:rsidR="00773E2C" w:rsidRDefault="00773E2C">
      <w:pPr>
        <w:tabs>
          <w:tab w:val="left" w:pos="1260"/>
        </w:tabs>
        <w:ind w:firstLine="567"/>
        <w:jc w:val="both"/>
        <w:rPr>
          <w:rFonts w:eastAsia="Calibri"/>
          <w:sz w:val="22"/>
          <w:szCs w:val="22"/>
          <w:lang w:eastAsia="en-US"/>
        </w:rPr>
      </w:pPr>
    </w:p>
    <w:p w:rsidR="00773E2C" w:rsidRDefault="00805665">
      <w:pPr>
        <w:keepNext/>
        <w:ind w:firstLine="567"/>
        <w:jc w:val="both"/>
        <w:outlineLvl w:val="1"/>
        <w:rPr>
          <w:b/>
          <w:bCs/>
          <w:color w:val="000000" w:themeColor="text1"/>
          <w:sz w:val="22"/>
          <w:szCs w:val="22"/>
        </w:rPr>
      </w:pPr>
      <w:bookmarkStart w:id="12" w:name="_Toc229052189"/>
      <w:r>
        <w:rPr>
          <w:b/>
          <w:bCs/>
          <w:color w:val="000000" w:themeColor="text1"/>
          <w:sz w:val="22"/>
          <w:szCs w:val="22"/>
        </w:rPr>
        <w:t>4.</w:t>
      </w:r>
      <w:r w:rsidR="00B44827">
        <w:rPr>
          <w:b/>
          <w:bCs/>
          <w:color w:val="000000" w:themeColor="text1"/>
          <w:sz w:val="22"/>
          <w:szCs w:val="22"/>
        </w:rPr>
        <w:t> </w:t>
      </w:r>
      <w:r>
        <w:rPr>
          <w:b/>
          <w:bCs/>
          <w:color w:val="000000" w:themeColor="text1"/>
          <w:sz w:val="22"/>
          <w:szCs w:val="22"/>
        </w:rPr>
        <w:t>Корпоративное управление</w:t>
      </w:r>
      <w:bookmarkEnd w:id="12"/>
    </w:p>
    <w:p w:rsidR="00773E2C" w:rsidRDefault="00773E2C">
      <w:pPr>
        <w:tabs>
          <w:tab w:val="left" w:pos="1260"/>
        </w:tabs>
        <w:ind w:firstLine="567"/>
        <w:jc w:val="both"/>
        <w:rPr>
          <w:rFonts w:eastAsia="Calibri"/>
          <w:sz w:val="22"/>
          <w:szCs w:val="22"/>
          <w:lang w:eastAsia="en-US"/>
        </w:rPr>
      </w:pPr>
    </w:p>
    <w:p w:rsidR="00773E2C" w:rsidRDefault="00805665">
      <w:pPr>
        <w:tabs>
          <w:tab w:val="left" w:pos="1260"/>
        </w:tabs>
        <w:ind w:firstLine="567"/>
        <w:jc w:val="both"/>
        <w:rPr>
          <w:rFonts w:eastAsia="Calibri"/>
          <w:sz w:val="22"/>
          <w:szCs w:val="22"/>
          <w:lang w:eastAsia="en-US"/>
        </w:rPr>
      </w:pPr>
      <w:r>
        <w:rPr>
          <w:rFonts w:eastAsia="Calibri"/>
          <w:sz w:val="22"/>
          <w:szCs w:val="22"/>
          <w:lang w:eastAsia="en-US"/>
        </w:rPr>
        <w:t>Корпоративное управление Банка представляет собой систему взаимоотношений между акционерами, Наблюдательным советом Банка, исполнительными органами Банка и другими заинтересованными лицами, устанавливающая правила и процедуры принятия корпоративных решений, обеспечивающая управление и контроль деятельности Банка.</w:t>
      </w:r>
    </w:p>
    <w:p w:rsidR="00773E2C" w:rsidRDefault="00773E2C">
      <w:pPr>
        <w:tabs>
          <w:tab w:val="left" w:pos="1260"/>
        </w:tabs>
        <w:ind w:firstLine="567"/>
        <w:jc w:val="both"/>
        <w:rPr>
          <w:rFonts w:eastAsia="Calibri"/>
          <w:sz w:val="22"/>
          <w:szCs w:val="22"/>
          <w:lang w:eastAsia="en-US"/>
        </w:rPr>
      </w:pPr>
    </w:p>
    <w:p w:rsidR="00773E2C" w:rsidRDefault="00805665">
      <w:pPr>
        <w:keepNext/>
        <w:ind w:firstLine="567"/>
        <w:jc w:val="both"/>
        <w:outlineLvl w:val="1"/>
        <w:rPr>
          <w:b/>
          <w:bCs/>
          <w:sz w:val="22"/>
          <w:szCs w:val="22"/>
        </w:rPr>
      </w:pPr>
      <w:bookmarkStart w:id="13" w:name="_Toc229052190"/>
      <w:r>
        <w:rPr>
          <w:b/>
          <w:bCs/>
          <w:sz w:val="22"/>
          <w:szCs w:val="22"/>
        </w:rPr>
        <w:t>4.1</w:t>
      </w:r>
      <w:r w:rsidR="009B7C78">
        <w:rPr>
          <w:b/>
          <w:bCs/>
          <w:sz w:val="22"/>
          <w:szCs w:val="22"/>
        </w:rPr>
        <w:t>.</w:t>
      </w:r>
      <w:r>
        <w:rPr>
          <w:b/>
          <w:bCs/>
          <w:sz w:val="22"/>
          <w:szCs w:val="22"/>
        </w:rPr>
        <w:t> </w:t>
      </w:r>
      <w:r>
        <w:rPr>
          <w:b/>
          <w:bCs/>
          <w:color w:val="000000" w:themeColor="text1"/>
          <w:sz w:val="22"/>
          <w:szCs w:val="22"/>
        </w:rPr>
        <w:t>Структура акционерного капитала</w:t>
      </w:r>
      <w:bookmarkEnd w:id="13"/>
    </w:p>
    <w:p w:rsidR="00773E2C" w:rsidRDefault="00773E2C">
      <w:pPr>
        <w:ind w:firstLine="539"/>
        <w:jc w:val="both"/>
        <w:rPr>
          <w:sz w:val="22"/>
          <w:szCs w:val="22"/>
        </w:rPr>
      </w:pPr>
    </w:p>
    <w:p w:rsidR="00773E2C" w:rsidRDefault="00805665">
      <w:pPr>
        <w:tabs>
          <w:tab w:val="left" w:pos="1260"/>
        </w:tabs>
        <w:ind w:firstLine="567"/>
        <w:jc w:val="both"/>
        <w:rPr>
          <w:rFonts w:eastAsia="Calibri"/>
          <w:sz w:val="22"/>
          <w:szCs w:val="22"/>
          <w:lang w:eastAsia="en-US"/>
        </w:rPr>
      </w:pPr>
      <w:r>
        <w:rPr>
          <w:rFonts w:eastAsia="Calibri"/>
          <w:sz w:val="22"/>
          <w:szCs w:val="22"/>
          <w:lang w:eastAsia="en-US"/>
        </w:rPr>
        <w:t>По состоянию на 31 декабря 2025 года размер уставного капитала Банка составляет 36 013 469 735 рублей 70 копеек и разделен на 360 134 697 357 штук обыкновенных акций номинальной стоимостью 10 копеек. Все акции Банка являются голосующими.</w:t>
      </w:r>
    </w:p>
    <w:p w:rsidR="00773E2C" w:rsidRDefault="00805665">
      <w:pPr>
        <w:tabs>
          <w:tab w:val="left" w:pos="1260"/>
        </w:tabs>
        <w:ind w:firstLine="567"/>
        <w:jc w:val="both"/>
        <w:rPr>
          <w:rFonts w:eastAsia="Calibri"/>
          <w:sz w:val="22"/>
          <w:szCs w:val="22"/>
          <w:lang w:eastAsia="en-US"/>
        </w:rPr>
      </w:pPr>
      <w:r>
        <w:rPr>
          <w:rFonts w:eastAsia="Calibri"/>
          <w:sz w:val="22"/>
          <w:szCs w:val="22"/>
          <w:lang w:eastAsia="en-US"/>
        </w:rPr>
        <w:t>Общее число акционеров Банка по состоянию на 31 декабря 2025 года – 42</w:t>
      </w:r>
      <w:r w:rsidR="009F015E">
        <w:rPr>
          <w:rFonts w:eastAsia="Calibri"/>
          <w:sz w:val="22"/>
          <w:szCs w:val="22"/>
          <w:lang w:eastAsia="en-US"/>
        </w:rPr>
        <w:t> </w:t>
      </w:r>
      <w:r>
        <w:rPr>
          <w:rFonts w:eastAsia="Calibri"/>
          <w:sz w:val="22"/>
          <w:szCs w:val="22"/>
          <w:lang w:eastAsia="en-US"/>
        </w:rPr>
        <w:t>118.</w:t>
      </w:r>
    </w:p>
    <w:p w:rsidR="009F015E" w:rsidRPr="00A76778" w:rsidRDefault="009F015E" w:rsidP="009F015E">
      <w:pPr>
        <w:tabs>
          <w:tab w:val="left" w:pos="1260"/>
        </w:tabs>
        <w:ind w:firstLine="567"/>
        <w:jc w:val="both"/>
        <w:rPr>
          <w:rFonts w:eastAsia="Calibri"/>
          <w:sz w:val="22"/>
          <w:szCs w:val="22"/>
          <w:lang w:eastAsia="en-US"/>
        </w:rPr>
      </w:pPr>
      <w:r w:rsidRPr="00A76778">
        <w:rPr>
          <w:rFonts w:eastAsia="Calibri"/>
          <w:sz w:val="22"/>
          <w:szCs w:val="22"/>
          <w:lang w:eastAsia="en-US"/>
        </w:rPr>
        <w:t>Более 5 % уставного капитала Банка владеют следующие акционеры:</w:t>
      </w:r>
    </w:p>
    <w:p w:rsidR="0018792C" w:rsidRPr="0018792C" w:rsidRDefault="0018792C" w:rsidP="0018792C">
      <w:pPr>
        <w:tabs>
          <w:tab w:val="left" w:pos="1260"/>
        </w:tabs>
        <w:ind w:firstLine="567"/>
        <w:jc w:val="both"/>
        <w:rPr>
          <w:rFonts w:eastAsia="Calibri"/>
          <w:b/>
          <w:color w:val="FF0000"/>
          <w:sz w:val="22"/>
          <w:szCs w:val="22"/>
          <w:lang w:eastAsia="en-US"/>
        </w:rPr>
      </w:pPr>
      <w:r w:rsidRPr="0018792C">
        <w:rPr>
          <w:rFonts w:eastAsia="Calibri"/>
          <w:b/>
          <w:color w:val="FF0000"/>
          <w:sz w:val="22"/>
          <w:szCs w:val="22"/>
          <w:lang w:eastAsia="en-US"/>
        </w:rPr>
        <w:t>Информация не раскрывается и не предоставляется в соответствии с абзацем 2 пункта 1 Постановления Правительства Российской Федерации от 04.07.2023 № 1102 «Об особенностях раскрытия и (или) предоставления информации, подлежащей раскрытию и (или) предоставлению в соответствии с требованиями Федерального закона «Об акционерных обществах» и Федерального закона «О рынке ценных бумаг».</w:t>
      </w:r>
    </w:p>
    <w:p w:rsidR="009F015E" w:rsidRPr="00A76778" w:rsidRDefault="009F015E" w:rsidP="009F015E">
      <w:pPr>
        <w:tabs>
          <w:tab w:val="left" w:pos="1260"/>
        </w:tabs>
        <w:ind w:firstLine="567"/>
        <w:jc w:val="both"/>
        <w:rPr>
          <w:rFonts w:eastAsia="Calibri"/>
          <w:sz w:val="22"/>
          <w:szCs w:val="22"/>
          <w:lang w:eastAsia="en-US"/>
        </w:rPr>
      </w:pPr>
      <w:r w:rsidRPr="00A76778">
        <w:rPr>
          <w:rFonts w:eastAsia="Calibri"/>
          <w:sz w:val="22"/>
          <w:szCs w:val="22"/>
          <w:lang w:eastAsia="en-US"/>
        </w:rPr>
        <w:t>Иных акционеров, владеющих более 5% уставного капитала Банка, не имеется.</w:t>
      </w:r>
    </w:p>
    <w:p w:rsidR="00773E2C" w:rsidRDefault="00805665">
      <w:pPr>
        <w:tabs>
          <w:tab w:val="left" w:pos="1260"/>
        </w:tabs>
        <w:ind w:firstLine="567"/>
        <w:jc w:val="both"/>
        <w:rPr>
          <w:rFonts w:eastAsia="Calibri"/>
          <w:color w:val="000000" w:themeColor="text1"/>
          <w:sz w:val="22"/>
          <w:szCs w:val="22"/>
          <w:lang w:eastAsia="en-US"/>
        </w:rPr>
      </w:pPr>
      <w:r>
        <w:rPr>
          <w:rFonts w:eastAsia="Calibri"/>
          <w:color w:val="000000" w:themeColor="text1"/>
          <w:sz w:val="22"/>
          <w:szCs w:val="22"/>
          <w:lang w:eastAsia="en-US"/>
        </w:rPr>
        <w:t>По состоянию на 31 декабря 2025 года в распоряжении Банка и подконтрольных ему юридических лиц акций Банка не имелось.</w:t>
      </w:r>
    </w:p>
    <w:p w:rsidR="00773E2C" w:rsidRDefault="00805665">
      <w:pPr>
        <w:tabs>
          <w:tab w:val="left" w:pos="1260"/>
        </w:tabs>
        <w:ind w:firstLine="567"/>
        <w:jc w:val="both"/>
        <w:rPr>
          <w:rFonts w:eastAsia="Calibri"/>
          <w:color w:val="000000"/>
          <w:sz w:val="22"/>
          <w:szCs w:val="22"/>
          <w:lang w:eastAsia="en-US"/>
        </w:rPr>
      </w:pPr>
      <w:r>
        <w:rPr>
          <w:rFonts w:eastAsia="Calibri"/>
          <w:color w:val="000000"/>
          <w:sz w:val="22"/>
          <w:szCs w:val="22"/>
          <w:lang w:eastAsia="en-US"/>
        </w:rPr>
        <w:t>Акционерные соглашения между акционерами Банка отсутствуют.</w:t>
      </w:r>
    </w:p>
    <w:p w:rsidR="00773E2C" w:rsidRDefault="00773E2C">
      <w:pPr>
        <w:ind w:firstLine="539"/>
        <w:jc w:val="both"/>
        <w:rPr>
          <w:sz w:val="22"/>
          <w:szCs w:val="22"/>
        </w:rPr>
      </w:pPr>
    </w:p>
    <w:p w:rsidR="00773E2C" w:rsidRDefault="00805665">
      <w:pPr>
        <w:keepNext/>
        <w:ind w:firstLine="567"/>
        <w:jc w:val="both"/>
        <w:outlineLvl w:val="1"/>
        <w:rPr>
          <w:b/>
          <w:bCs/>
          <w:sz w:val="22"/>
          <w:szCs w:val="22"/>
        </w:rPr>
      </w:pPr>
      <w:bookmarkStart w:id="14" w:name="_Toc229052191"/>
      <w:r>
        <w:rPr>
          <w:b/>
          <w:bCs/>
          <w:sz w:val="22"/>
          <w:szCs w:val="22"/>
        </w:rPr>
        <w:t>4.2</w:t>
      </w:r>
      <w:r w:rsidR="009B7C78">
        <w:rPr>
          <w:b/>
          <w:bCs/>
          <w:sz w:val="22"/>
          <w:szCs w:val="22"/>
        </w:rPr>
        <w:t>.</w:t>
      </w:r>
      <w:r>
        <w:rPr>
          <w:b/>
          <w:bCs/>
          <w:sz w:val="22"/>
          <w:szCs w:val="22"/>
        </w:rPr>
        <w:t> Система корпоративного управления</w:t>
      </w:r>
      <w:bookmarkEnd w:id="14"/>
    </w:p>
    <w:p w:rsidR="00773E2C" w:rsidRDefault="00773E2C">
      <w:pPr>
        <w:tabs>
          <w:tab w:val="left" w:pos="1260"/>
        </w:tabs>
        <w:ind w:firstLine="567"/>
        <w:jc w:val="both"/>
        <w:rPr>
          <w:sz w:val="22"/>
          <w:szCs w:val="22"/>
        </w:rPr>
      </w:pPr>
    </w:p>
    <w:p w:rsidR="00773E2C" w:rsidRDefault="00805665">
      <w:pPr>
        <w:tabs>
          <w:tab w:val="left" w:pos="1260"/>
        </w:tabs>
        <w:ind w:firstLine="567"/>
        <w:jc w:val="both"/>
        <w:rPr>
          <w:rFonts w:eastAsia="Calibri"/>
          <w:sz w:val="22"/>
          <w:szCs w:val="22"/>
          <w:lang w:eastAsia="en-US"/>
        </w:rPr>
      </w:pPr>
      <w:r>
        <w:rPr>
          <w:rFonts w:eastAsia="Calibri"/>
          <w:sz w:val="22"/>
          <w:szCs w:val="22"/>
          <w:lang w:eastAsia="en-US"/>
        </w:rPr>
        <w:t>Система корпоративного управления Банка основана на исполнении требований российского законодательства, рекомендаций Банка России, и учитывает лучшие международные и российские практики.</w:t>
      </w:r>
    </w:p>
    <w:p w:rsidR="00773E2C" w:rsidRDefault="00805665">
      <w:pPr>
        <w:tabs>
          <w:tab w:val="left" w:pos="1260"/>
        </w:tabs>
        <w:ind w:firstLine="567"/>
        <w:jc w:val="both"/>
        <w:rPr>
          <w:rFonts w:eastAsia="Calibri"/>
          <w:sz w:val="22"/>
          <w:szCs w:val="22"/>
          <w:lang w:eastAsia="en-US"/>
        </w:rPr>
      </w:pPr>
      <w:r>
        <w:rPr>
          <w:rFonts w:eastAsia="Calibri"/>
          <w:sz w:val="22"/>
          <w:szCs w:val="22"/>
          <w:lang w:eastAsia="en-US"/>
        </w:rPr>
        <w:t>Структура системы корпоративного управления в Банке включает в себя органы управления и внутреннего контроля, порядок взаимоотношений органов управления Банка и его акционеров и их взаимодействие с заинтересованными лицами, основанное на механизмах и внутренних процедурах принятия решений, контроля и раскрытия информации.</w:t>
      </w:r>
    </w:p>
    <w:p w:rsidR="00C16D6C" w:rsidRDefault="00C16D6C">
      <w:pPr>
        <w:ind w:firstLine="539"/>
        <w:jc w:val="both"/>
        <w:rPr>
          <w:sz w:val="22"/>
          <w:szCs w:val="22"/>
        </w:rPr>
      </w:pPr>
    </w:p>
    <w:p w:rsidR="00C16D6C" w:rsidRDefault="00C16D6C">
      <w:pPr>
        <w:ind w:firstLine="539"/>
        <w:jc w:val="both"/>
        <w:rPr>
          <w:sz w:val="22"/>
          <w:szCs w:val="22"/>
        </w:rPr>
      </w:pPr>
    </w:p>
    <w:p w:rsidR="005D6701" w:rsidRDefault="005D6701">
      <w:pPr>
        <w:ind w:firstLine="539"/>
        <w:jc w:val="both"/>
        <w:rPr>
          <w:sz w:val="22"/>
          <w:szCs w:val="22"/>
        </w:rPr>
      </w:pPr>
    </w:p>
    <w:p w:rsidR="00773E2C" w:rsidRDefault="00805665">
      <w:pPr>
        <w:ind w:firstLine="539"/>
        <w:jc w:val="both"/>
        <w:rPr>
          <w:sz w:val="22"/>
          <w:szCs w:val="22"/>
        </w:rPr>
      </w:pPr>
      <w:r>
        <w:rPr>
          <w:sz w:val="22"/>
          <w:szCs w:val="22"/>
        </w:rPr>
        <w:lastRenderedPageBreak/>
        <w:t>К органам управления Банка относятся:</w:t>
      </w:r>
    </w:p>
    <w:p w:rsidR="00773E2C" w:rsidRDefault="00805665">
      <w:pPr>
        <w:numPr>
          <w:ilvl w:val="0"/>
          <w:numId w:val="23"/>
        </w:numPr>
        <w:tabs>
          <w:tab w:val="left" w:pos="851"/>
        </w:tabs>
        <w:autoSpaceDE w:val="0"/>
        <w:autoSpaceDN w:val="0"/>
        <w:adjustRightInd w:val="0"/>
        <w:ind w:left="851" w:hanging="284"/>
        <w:jc w:val="both"/>
        <w:rPr>
          <w:sz w:val="22"/>
          <w:szCs w:val="22"/>
        </w:rPr>
      </w:pPr>
      <w:r>
        <w:rPr>
          <w:sz w:val="22"/>
          <w:szCs w:val="22"/>
        </w:rPr>
        <w:t>Общее собрание акционеров – высший орган управления Банка, посредством которого акционеры реализуют свое право на участие в управлении Банком;</w:t>
      </w:r>
    </w:p>
    <w:p w:rsidR="00773E2C" w:rsidRDefault="00805665">
      <w:pPr>
        <w:numPr>
          <w:ilvl w:val="0"/>
          <w:numId w:val="23"/>
        </w:numPr>
        <w:tabs>
          <w:tab w:val="left" w:pos="851"/>
        </w:tabs>
        <w:autoSpaceDE w:val="0"/>
        <w:autoSpaceDN w:val="0"/>
        <w:adjustRightInd w:val="0"/>
        <w:ind w:left="851" w:hanging="284"/>
        <w:jc w:val="both"/>
        <w:rPr>
          <w:sz w:val="22"/>
          <w:szCs w:val="22"/>
        </w:rPr>
      </w:pPr>
      <w:r>
        <w:rPr>
          <w:sz w:val="22"/>
          <w:szCs w:val="22"/>
        </w:rPr>
        <w:t xml:space="preserve">Наблюдательный совет Банка – коллегиальный орган управления, осуществляющий в соответствии с </w:t>
      </w:r>
      <w:hyperlink r:id="rId10" w:history="1">
        <w:r>
          <w:rPr>
            <w:sz w:val="22"/>
            <w:szCs w:val="22"/>
          </w:rPr>
          <w:t>Уставом Банка</w:t>
        </w:r>
      </w:hyperlink>
      <w:r>
        <w:rPr>
          <w:sz w:val="22"/>
          <w:szCs w:val="22"/>
        </w:rPr>
        <w:t xml:space="preserve"> стратегическое управление Банком, определяющий основные принципы и подходы к организации в Банке системы управления рисками и внутреннего контроля и контролирующий деятельность исполнительных органов Банка;</w:t>
      </w:r>
    </w:p>
    <w:p w:rsidR="00773E2C" w:rsidRDefault="00805665">
      <w:pPr>
        <w:numPr>
          <w:ilvl w:val="0"/>
          <w:numId w:val="23"/>
        </w:numPr>
        <w:tabs>
          <w:tab w:val="left" w:pos="851"/>
        </w:tabs>
        <w:autoSpaceDE w:val="0"/>
        <w:autoSpaceDN w:val="0"/>
        <w:adjustRightInd w:val="0"/>
        <w:ind w:left="851" w:hanging="284"/>
        <w:jc w:val="both"/>
        <w:rPr>
          <w:sz w:val="22"/>
          <w:szCs w:val="22"/>
        </w:rPr>
      </w:pPr>
      <w:r>
        <w:rPr>
          <w:sz w:val="22"/>
          <w:szCs w:val="22"/>
        </w:rPr>
        <w:t>Исполнительные органы Банка: единоличный исполнительный орган – Председатель Правления Банка и коллегиальный исполнительный орган – Правление Банка. Исполнительные органы Банка в соответствии с Уставом Банка осуществляют руководство текущей деятельностью Банка, организуют выполнение решений Общего собрания акционеров и Наблюдательного совета Банка.</w:t>
      </w:r>
    </w:p>
    <w:p w:rsidR="00773E2C" w:rsidRDefault="00805665">
      <w:pPr>
        <w:ind w:firstLine="539"/>
        <w:jc w:val="both"/>
        <w:rPr>
          <w:sz w:val="22"/>
          <w:szCs w:val="22"/>
        </w:rPr>
      </w:pPr>
      <w:r>
        <w:rPr>
          <w:sz w:val="22"/>
          <w:szCs w:val="22"/>
        </w:rPr>
        <w:t>К органам контроля Банка относятся органы внутреннего контроля.</w:t>
      </w:r>
    </w:p>
    <w:p w:rsidR="00773E2C" w:rsidRDefault="00805665">
      <w:pPr>
        <w:ind w:firstLine="539"/>
        <w:jc w:val="both"/>
        <w:rPr>
          <w:color w:val="000000"/>
          <w:sz w:val="22"/>
          <w:szCs w:val="22"/>
        </w:rPr>
      </w:pPr>
      <w:r>
        <w:rPr>
          <w:sz w:val="22"/>
          <w:szCs w:val="22"/>
        </w:rPr>
        <w:t xml:space="preserve">Развитие корпоративного управления — приоритет для Банка и залог его эффективности. Вопрос находится на постоянном контроле Наблюдательного совета и исполнительных органов Банка. </w:t>
      </w:r>
      <w:r>
        <w:rPr>
          <w:color w:val="000000"/>
          <w:sz w:val="22"/>
          <w:szCs w:val="22"/>
        </w:rPr>
        <w:t>Результаты самооценки качества корпоративного управления ежегодно обсуждаются Наблюдательным советом. По итогам их обсуждения Наблюдательным советом составляется план мероприятий по совершенствованию корпоративного управления Банка на соответствующий год. Исполнительные органы Банка отчитываются перед Наблюдательным советом об исполнении плана.</w:t>
      </w:r>
    </w:p>
    <w:p w:rsidR="00773E2C" w:rsidRDefault="00805665">
      <w:pPr>
        <w:ind w:firstLine="539"/>
        <w:jc w:val="both"/>
        <w:rPr>
          <w:sz w:val="22"/>
          <w:szCs w:val="22"/>
        </w:rPr>
      </w:pPr>
      <w:r>
        <w:rPr>
          <w:color w:val="000000"/>
          <w:sz w:val="22"/>
          <w:szCs w:val="22"/>
        </w:rPr>
        <w:t>Банк регулярно проводит мониторинг актуальных</w:t>
      </w:r>
      <w:r>
        <w:rPr>
          <w:sz w:val="22"/>
          <w:szCs w:val="22"/>
        </w:rPr>
        <w:t xml:space="preserve"> вопросов корпоративного управления, следит за развитием корпоративного законодательства и практик, постоянно ведет работу по совершенствованию системы корпоративного управления в Банке, применяя в том числе международные стандарты, лучшие российские и мировые практики.</w:t>
      </w:r>
    </w:p>
    <w:p w:rsidR="00773E2C" w:rsidRDefault="00805665">
      <w:pPr>
        <w:tabs>
          <w:tab w:val="left" w:pos="1260"/>
        </w:tabs>
        <w:ind w:firstLine="567"/>
        <w:jc w:val="both"/>
        <w:rPr>
          <w:sz w:val="22"/>
          <w:szCs w:val="22"/>
        </w:rPr>
      </w:pPr>
      <w:r>
        <w:rPr>
          <w:sz w:val="22"/>
          <w:szCs w:val="22"/>
        </w:rPr>
        <w:t xml:space="preserve">В 2025 году Банком была продолжена работа по внедрению в свою деятельность положений Кодекса корпоративного управления, рекомендованного к применению письмом Банка России от 10.04.2014 № 06-52/2463 (далее </w:t>
      </w:r>
      <w:r w:rsidR="008B6B40" w:rsidRPr="00904417">
        <w:rPr>
          <w:rFonts w:eastAsia="Calibri"/>
          <w:sz w:val="22"/>
          <w:szCs w:val="22"/>
          <w:lang w:eastAsia="en-US"/>
        </w:rPr>
        <w:t>–</w:t>
      </w:r>
      <w:r w:rsidR="00A60E16">
        <w:rPr>
          <w:rFonts w:eastAsia="Calibri"/>
          <w:sz w:val="22"/>
          <w:szCs w:val="22"/>
          <w:lang w:eastAsia="en-US"/>
        </w:rPr>
        <w:t xml:space="preserve"> </w:t>
      </w:r>
      <w:r>
        <w:rPr>
          <w:sz w:val="22"/>
          <w:szCs w:val="22"/>
        </w:rPr>
        <w:t>Кодекс, Кодекс корпоративного управления).</w:t>
      </w:r>
    </w:p>
    <w:p w:rsidR="00773E2C" w:rsidRDefault="00805665">
      <w:pPr>
        <w:ind w:firstLine="539"/>
        <w:jc w:val="both"/>
        <w:rPr>
          <w:sz w:val="22"/>
          <w:szCs w:val="22"/>
        </w:rPr>
      </w:pPr>
      <w:r>
        <w:rPr>
          <w:sz w:val="22"/>
          <w:szCs w:val="22"/>
        </w:rPr>
        <w:t xml:space="preserve">Принципы Кодекса корпоративного управления внедрены во внутренние документы Банка, что гарантирует их соблюдение на всех уровнях </w:t>
      </w:r>
      <w:r w:rsidR="008B6B40" w:rsidRPr="00904417">
        <w:rPr>
          <w:rFonts w:eastAsia="Calibri"/>
          <w:sz w:val="22"/>
          <w:szCs w:val="22"/>
          <w:lang w:eastAsia="en-US"/>
        </w:rPr>
        <w:t>–</w:t>
      </w:r>
      <w:r>
        <w:rPr>
          <w:sz w:val="22"/>
          <w:szCs w:val="22"/>
        </w:rPr>
        <w:t xml:space="preserve"> от акционеров до сотрудников.</w:t>
      </w:r>
    </w:p>
    <w:p w:rsidR="00773E2C" w:rsidRDefault="00805665">
      <w:pPr>
        <w:tabs>
          <w:tab w:val="left" w:pos="1260"/>
        </w:tabs>
        <w:ind w:firstLine="567"/>
        <w:jc w:val="both"/>
        <w:rPr>
          <w:sz w:val="22"/>
          <w:szCs w:val="22"/>
        </w:rPr>
      </w:pPr>
      <w:r>
        <w:rPr>
          <w:sz w:val="22"/>
          <w:szCs w:val="22"/>
        </w:rPr>
        <w:t>На годовом заседании Общего собрания акционеров Банка, состоявшемся 17 июня 2025 года, были утверждены новые редакции:</w:t>
      </w:r>
    </w:p>
    <w:p w:rsidR="00773E2C" w:rsidRDefault="00805665">
      <w:pPr>
        <w:tabs>
          <w:tab w:val="left" w:pos="1260"/>
        </w:tabs>
        <w:ind w:firstLine="567"/>
        <w:jc w:val="both"/>
        <w:rPr>
          <w:sz w:val="22"/>
          <w:szCs w:val="22"/>
        </w:rPr>
      </w:pPr>
      <w:r>
        <w:rPr>
          <w:sz w:val="22"/>
          <w:szCs w:val="22"/>
        </w:rPr>
        <w:t>- Устава Публичного акционерного общества «БАНК УРАЛСИБ»;</w:t>
      </w:r>
    </w:p>
    <w:p w:rsidR="00773E2C" w:rsidRDefault="00805665">
      <w:pPr>
        <w:tabs>
          <w:tab w:val="left" w:pos="1260"/>
        </w:tabs>
        <w:ind w:firstLine="567"/>
        <w:jc w:val="both"/>
        <w:rPr>
          <w:sz w:val="22"/>
          <w:szCs w:val="22"/>
        </w:rPr>
      </w:pPr>
      <w:r>
        <w:rPr>
          <w:sz w:val="22"/>
          <w:szCs w:val="22"/>
        </w:rPr>
        <w:t>- Положения об Общем собрании акционеров Публичного акционерного общества «БАНК УРАЛСИБ»;</w:t>
      </w:r>
    </w:p>
    <w:p w:rsidR="00773E2C" w:rsidRDefault="00805665">
      <w:pPr>
        <w:tabs>
          <w:tab w:val="left" w:pos="1260"/>
        </w:tabs>
        <w:ind w:firstLine="567"/>
        <w:jc w:val="both"/>
        <w:rPr>
          <w:sz w:val="22"/>
          <w:szCs w:val="22"/>
        </w:rPr>
      </w:pPr>
      <w:r>
        <w:rPr>
          <w:sz w:val="22"/>
          <w:szCs w:val="22"/>
        </w:rPr>
        <w:t>- Положения о Наблюдательном совете Публичного акционерного общества «БАНК УРАЛСИБ»;</w:t>
      </w:r>
    </w:p>
    <w:p w:rsidR="00773E2C" w:rsidRDefault="00805665">
      <w:pPr>
        <w:tabs>
          <w:tab w:val="left" w:pos="1260"/>
        </w:tabs>
        <w:ind w:firstLine="567"/>
        <w:jc w:val="both"/>
        <w:rPr>
          <w:sz w:val="22"/>
          <w:szCs w:val="22"/>
        </w:rPr>
      </w:pPr>
      <w:r>
        <w:rPr>
          <w:sz w:val="22"/>
          <w:szCs w:val="22"/>
        </w:rPr>
        <w:t>- Положения о Правлении Публичного акционерного общества «БАНК УРАЛСИБ», актуализированные с учетом изменений в законодательство об акционерных обществах, вступивших в силу с 01.03.2025 года.</w:t>
      </w:r>
    </w:p>
    <w:p w:rsidR="00773E2C" w:rsidRDefault="00805665">
      <w:pPr>
        <w:tabs>
          <w:tab w:val="left" w:pos="1260"/>
        </w:tabs>
        <w:ind w:firstLine="567"/>
        <w:jc w:val="both"/>
        <w:rPr>
          <w:sz w:val="22"/>
          <w:szCs w:val="22"/>
        </w:rPr>
      </w:pPr>
      <w:r>
        <w:rPr>
          <w:sz w:val="22"/>
          <w:szCs w:val="22"/>
        </w:rPr>
        <w:t>Для приведения внутренних нормативных документов в соответствие с требованиями действующего законодательства Российской федерации и Устава Банка, лучшими практиками в области корпоративного управления и рекомендациями Банка России, стратегией развития Банка, учитывающей масштабы бизнеса и прогноз их изменений, Наблюдательный совет утвердил:</w:t>
      </w:r>
    </w:p>
    <w:p w:rsidR="00773E2C" w:rsidRDefault="00805665">
      <w:pPr>
        <w:tabs>
          <w:tab w:val="left" w:pos="1260"/>
        </w:tabs>
        <w:ind w:firstLine="567"/>
        <w:jc w:val="both"/>
        <w:rPr>
          <w:sz w:val="22"/>
          <w:szCs w:val="22"/>
        </w:rPr>
      </w:pPr>
      <w:r>
        <w:rPr>
          <w:sz w:val="22"/>
          <w:szCs w:val="22"/>
        </w:rPr>
        <w:t>- актуализированную редакцию Кодекса корпоративного управления Публичного акционерного общества «БАНК УРАЛСИБ»,</w:t>
      </w:r>
    </w:p>
    <w:p w:rsidR="00773E2C" w:rsidRDefault="00805665">
      <w:pPr>
        <w:tabs>
          <w:tab w:val="left" w:pos="1260"/>
        </w:tabs>
        <w:ind w:firstLine="567"/>
        <w:jc w:val="both"/>
        <w:rPr>
          <w:sz w:val="22"/>
          <w:szCs w:val="22"/>
        </w:rPr>
      </w:pPr>
      <w:r>
        <w:rPr>
          <w:sz w:val="22"/>
          <w:szCs w:val="22"/>
        </w:rPr>
        <w:t>- Положение о дивидендной политике Публичного акционерного общества «БАНК УРАЛСИБ», взамен утратившей силу Дивидендной политики Публичного акционерного общества «БАНК УРАЛСИБ».</w:t>
      </w:r>
    </w:p>
    <w:p w:rsidR="00773E2C" w:rsidRDefault="00773E2C">
      <w:pPr>
        <w:tabs>
          <w:tab w:val="left" w:pos="1260"/>
        </w:tabs>
        <w:ind w:firstLine="567"/>
        <w:jc w:val="both"/>
        <w:rPr>
          <w:sz w:val="22"/>
          <w:szCs w:val="22"/>
        </w:rPr>
      </w:pPr>
    </w:p>
    <w:p w:rsidR="00773E2C" w:rsidRDefault="00805665">
      <w:pPr>
        <w:keepNext/>
        <w:ind w:firstLine="567"/>
        <w:jc w:val="both"/>
        <w:outlineLvl w:val="1"/>
        <w:rPr>
          <w:b/>
          <w:bCs/>
          <w:sz w:val="22"/>
          <w:szCs w:val="22"/>
        </w:rPr>
      </w:pPr>
      <w:bookmarkStart w:id="15" w:name="_Toc229052192"/>
      <w:r>
        <w:rPr>
          <w:b/>
          <w:bCs/>
          <w:sz w:val="22"/>
          <w:szCs w:val="22"/>
        </w:rPr>
        <w:t>4.3</w:t>
      </w:r>
      <w:r w:rsidR="009B7C78">
        <w:rPr>
          <w:b/>
          <w:bCs/>
          <w:sz w:val="22"/>
          <w:szCs w:val="22"/>
        </w:rPr>
        <w:t>.</w:t>
      </w:r>
      <w:r>
        <w:rPr>
          <w:b/>
          <w:bCs/>
          <w:sz w:val="22"/>
          <w:szCs w:val="22"/>
        </w:rPr>
        <w:t> Общее собрание акционеров</w:t>
      </w:r>
      <w:bookmarkEnd w:id="15"/>
    </w:p>
    <w:p w:rsidR="00773E2C" w:rsidRDefault="00773E2C">
      <w:pPr>
        <w:ind w:firstLine="540"/>
        <w:jc w:val="both"/>
        <w:rPr>
          <w:sz w:val="22"/>
          <w:szCs w:val="22"/>
        </w:rPr>
      </w:pPr>
    </w:p>
    <w:p w:rsidR="00773E2C" w:rsidRDefault="00805665">
      <w:pPr>
        <w:ind w:firstLine="539"/>
        <w:jc w:val="both"/>
        <w:rPr>
          <w:sz w:val="22"/>
          <w:szCs w:val="22"/>
        </w:rPr>
      </w:pPr>
      <w:r>
        <w:rPr>
          <w:sz w:val="22"/>
          <w:szCs w:val="22"/>
        </w:rPr>
        <w:t xml:space="preserve">ПАО «БАНК УРАЛСИБ» уделяет особое внимание подготовке и проведению Общих собраний акционеров Банка. Порядок подготовки и проведения Общих собраний акционеров регулируется Уставом ПАО «БАНК УРАЛСИБ», Положением об Общем собрании акционеров ПАО «БАНК УРАЛСИБ» и </w:t>
      </w:r>
      <w:r>
        <w:rPr>
          <w:rFonts w:cs="Arial"/>
          <w:sz w:val="22"/>
          <w:szCs w:val="22"/>
        </w:rPr>
        <w:t xml:space="preserve">Порядком подготовки к проведению Общего собрания акционеров ПАО «БАНК УРАЛСИБ», </w:t>
      </w:r>
      <w:r>
        <w:rPr>
          <w:sz w:val="22"/>
          <w:szCs w:val="22"/>
        </w:rPr>
        <w:t>которые направлены на обеспечение соблюдения прав акционеров, отвечают всем требованиям действующего законодательства Российской Федерации, а также учитывают рекомендации Кодекса корпоративного управления.</w:t>
      </w:r>
    </w:p>
    <w:p w:rsidR="00773E2C" w:rsidRDefault="00805665">
      <w:pPr>
        <w:ind w:firstLine="539"/>
        <w:jc w:val="both"/>
        <w:rPr>
          <w:sz w:val="22"/>
          <w:szCs w:val="22"/>
        </w:rPr>
      </w:pPr>
      <w:r>
        <w:rPr>
          <w:sz w:val="22"/>
          <w:szCs w:val="22"/>
        </w:rPr>
        <w:lastRenderedPageBreak/>
        <w:t xml:space="preserve">В 2025 году проводилось только </w:t>
      </w:r>
      <w:r>
        <w:rPr>
          <w:color w:val="000000"/>
          <w:sz w:val="22"/>
          <w:szCs w:val="22"/>
        </w:rPr>
        <w:t xml:space="preserve">годовое заседание </w:t>
      </w:r>
      <w:r>
        <w:rPr>
          <w:sz w:val="22"/>
          <w:szCs w:val="22"/>
        </w:rPr>
        <w:t>Общего собрания акционеров Банка (дата проведения 17 июня 2025 года). На данном заседании Общего собрания акционеров были рассмотрены следующие вопросы:</w:t>
      </w:r>
    </w:p>
    <w:p w:rsidR="00773E2C" w:rsidRDefault="00805665">
      <w:pPr>
        <w:ind w:left="709" w:hanging="142"/>
        <w:jc w:val="both"/>
        <w:rPr>
          <w:sz w:val="22"/>
          <w:szCs w:val="22"/>
        </w:rPr>
      </w:pPr>
      <w:r>
        <w:rPr>
          <w:sz w:val="22"/>
          <w:szCs w:val="22"/>
        </w:rPr>
        <w:t>1. Утверждение годового отчета, годовой бухгалтерской (финансовой) отчетности Публичного акционерного общества «БАНК УРАЛСИБ» за 2024 год.</w:t>
      </w:r>
    </w:p>
    <w:p w:rsidR="00773E2C" w:rsidRDefault="00805665">
      <w:pPr>
        <w:ind w:left="709" w:hanging="142"/>
        <w:jc w:val="both"/>
        <w:rPr>
          <w:sz w:val="22"/>
          <w:szCs w:val="22"/>
        </w:rPr>
      </w:pPr>
      <w:r>
        <w:rPr>
          <w:sz w:val="22"/>
          <w:szCs w:val="22"/>
        </w:rPr>
        <w:t>2. Распределение прибыли и убытков Публичного акционерного общества «БАНК УРАЛСИБ» по результатам 2024 года.</w:t>
      </w:r>
    </w:p>
    <w:p w:rsidR="00773E2C" w:rsidRDefault="00805665">
      <w:pPr>
        <w:ind w:left="709" w:hanging="142"/>
        <w:jc w:val="both"/>
        <w:rPr>
          <w:sz w:val="22"/>
          <w:szCs w:val="22"/>
        </w:rPr>
      </w:pPr>
      <w:r>
        <w:rPr>
          <w:sz w:val="22"/>
          <w:szCs w:val="22"/>
        </w:rPr>
        <w:t>3. Выплата (объявление) дивидендов по результатам 2024 года.</w:t>
      </w:r>
    </w:p>
    <w:p w:rsidR="00773E2C" w:rsidRDefault="00805665">
      <w:pPr>
        <w:ind w:left="709" w:hanging="142"/>
        <w:jc w:val="both"/>
        <w:rPr>
          <w:sz w:val="22"/>
          <w:szCs w:val="22"/>
        </w:rPr>
      </w:pPr>
      <w:r>
        <w:rPr>
          <w:sz w:val="22"/>
          <w:szCs w:val="22"/>
        </w:rPr>
        <w:t>4. Назначение аудиторской организации Публичного акционерного общества «БАНК УРАЛСИБ».</w:t>
      </w:r>
    </w:p>
    <w:p w:rsidR="00773E2C" w:rsidRDefault="00805665">
      <w:pPr>
        <w:ind w:left="709" w:hanging="142"/>
        <w:jc w:val="both"/>
        <w:rPr>
          <w:sz w:val="22"/>
          <w:szCs w:val="22"/>
        </w:rPr>
      </w:pPr>
      <w:r>
        <w:rPr>
          <w:sz w:val="22"/>
          <w:szCs w:val="22"/>
        </w:rPr>
        <w:t>5. Утверждение Устава Публичного акционерного общества «БАНК УРАЛСИБ» в новой редакции.</w:t>
      </w:r>
    </w:p>
    <w:p w:rsidR="00773E2C" w:rsidRDefault="00805665">
      <w:pPr>
        <w:ind w:left="709" w:hanging="142"/>
        <w:jc w:val="both"/>
        <w:rPr>
          <w:sz w:val="22"/>
          <w:szCs w:val="22"/>
        </w:rPr>
      </w:pPr>
      <w:r>
        <w:rPr>
          <w:sz w:val="22"/>
          <w:szCs w:val="22"/>
        </w:rPr>
        <w:t>6. Утверждение Положения об Общем собрании акционеров Публичного акционерного общества «БАНК УРАЛСИБ» в новой редакции.</w:t>
      </w:r>
    </w:p>
    <w:p w:rsidR="00773E2C" w:rsidRDefault="00805665">
      <w:pPr>
        <w:ind w:left="709" w:hanging="142"/>
        <w:jc w:val="both"/>
        <w:rPr>
          <w:sz w:val="22"/>
          <w:szCs w:val="22"/>
        </w:rPr>
      </w:pPr>
      <w:r>
        <w:rPr>
          <w:sz w:val="22"/>
          <w:szCs w:val="22"/>
        </w:rPr>
        <w:t>7. Утверждение Положения о Наблюдательном совете Публичного акционерного общества «БАНК УРАЛСИБ» в новой редакции.</w:t>
      </w:r>
    </w:p>
    <w:p w:rsidR="00773E2C" w:rsidRDefault="00805665">
      <w:pPr>
        <w:ind w:left="709" w:hanging="142"/>
        <w:jc w:val="both"/>
        <w:rPr>
          <w:sz w:val="22"/>
          <w:szCs w:val="22"/>
        </w:rPr>
      </w:pPr>
      <w:r>
        <w:rPr>
          <w:sz w:val="22"/>
          <w:szCs w:val="22"/>
        </w:rPr>
        <w:t>8. Утверждение Положения о Правлении Публичного акционерного общества «БАНК УРАЛСИБ» в новой редакции.</w:t>
      </w:r>
    </w:p>
    <w:p w:rsidR="00773E2C" w:rsidRDefault="00805665">
      <w:pPr>
        <w:ind w:firstLine="539"/>
        <w:jc w:val="both"/>
        <w:rPr>
          <w:sz w:val="22"/>
          <w:szCs w:val="22"/>
        </w:rPr>
      </w:pPr>
      <w:r>
        <w:rPr>
          <w:sz w:val="22"/>
          <w:szCs w:val="22"/>
        </w:rPr>
        <w:t>По вопросам повестки дня Общим собранием акционеров были приняты следующие решения.</w:t>
      </w:r>
    </w:p>
    <w:p w:rsidR="00773E2C" w:rsidRDefault="00805665">
      <w:pPr>
        <w:ind w:firstLine="539"/>
        <w:jc w:val="both"/>
        <w:rPr>
          <w:sz w:val="22"/>
          <w:szCs w:val="22"/>
        </w:rPr>
      </w:pPr>
      <w:r>
        <w:rPr>
          <w:sz w:val="22"/>
          <w:szCs w:val="22"/>
        </w:rPr>
        <w:t>По первому вопросу повестки дня:</w:t>
      </w:r>
    </w:p>
    <w:p w:rsidR="00773E2C" w:rsidRDefault="00805665">
      <w:pPr>
        <w:ind w:firstLine="539"/>
        <w:jc w:val="both"/>
        <w:rPr>
          <w:sz w:val="22"/>
          <w:szCs w:val="22"/>
        </w:rPr>
      </w:pPr>
      <w:r>
        <w:rPr>
          <w:sz w:val="22"/>
          <w:szCs w:val="22"/>
        </w:rPr>
        <w:t>1.1. Утвердить Годовой отчет Публичного акционерного общества «БАНК УРАЛСИБ» за 2024 год.</w:t>
      </w:r>
    </w:p>
    <w:p w:rsidR="00773E2C" w:rsidRDefault="00805665">
      <w:pPr>
        <w:ind w:firstLine="539"/>
        <w:jc w:val="both"/>
        <w:rPr>
          <w:sz w:val="22"/>
          <w:szCs w:val="22"/>
        </w:rPr>
      </w:pPr>
      <w:r>
        <w:rPr>
          <w:sz w:val="22"/>
          <w:szCs w:val="22"/>
        </w:rPr>
        <w:t>1.2. Утвердить Годовую бухгалтерскую (финансовую) отчетность Публичного акционерного общества «БАНК УРАЛСИБ» за 2024 год.</w:t>
      </w:r>
    </w:p>
    <w:p w:rsidR="00773E2C" w:rsidRDefault="00805665">
      <w:pPr>
        <w:ind w:firstLine="539"/>
        <w:jc w:val="both"/>
        <w:rPr>
          <w:sz w:val="22"/>
          <w:szCs w:val="22"/>
        </w:rPr>
      </w:pPr>
      <w:r>
        <w:rPr>
          <w:sz w:val="22"/>
          <w:szCs w:val="22"/>
        </w:rPr>
        <w:t>По второму вопросу повестки дня:</w:t>
      </w:r>
    </w:p>
    <w:p w:rsidR="00773E2C" w:rsidRDefault="00805665">
      <w:pPr>
        <w:ind w:firstLine="539"/>
        <w:jc w:val="both"/>
        <w:rPr>
          <w:sz w:val="22"/>
          <w:szCs w:val="22"/>
        </w:rPr>
      </w:pPr>
      <w:r>
        <w:rPr>
          <w:sz w:val="22"/>
          <w:szCs w:val="22"/>
        </w:rPr>
        <w:t>Полученную по результатам 2024 года чистую прибыль ПАО «БАНК УРАЛСИБ» в размере 11 710 562 443 рубля 97 копеек (одиннадцать миллиардов семьсот десять миллионов пятьсот шестьдесят две тысячи четыреста сорок три рубля девяносто семь копеек) не распределять и оставить в распоряжении ПАО «БАНК УРАЛСИБ» с отражением в учете по счету 10801 «Нераспределенная прибыль».</w:t>
      </w:r>
    </w:p>
    <w:p w:rsidR="00773E2C" w:rsidRDefault="00805665">
      <w:pPr>
        <w:ind w:firstLine="539"/>
        <w:jc w:val="both"/>
        <w:rPr>
          <w:sz w:val="22"/>
          <w:szCs w:val="22"/>
        </w:rPr>
      </w:pPr>
      <w:r>
        <w:rPr>
          <w:sz w:val="22"/>
          <w:szCs w:val="22"/>
        </w:rPr>
        <w:t>По третьему вопросу повестки дня:</w:t>
      </w:r>
    </w:p>
    <w:p w:rsidR="00773E2C" w:rsidRDefault="00805665">
      <w:pPr>
        <w:ind w:firstLine="539"/>
        <w:jc w:val="both"/>
        <w:rPr>
          <w:sz w:val="22"/>
          <w:szCs w:val="22"/>
        </w:rPr>
      </w:pPr>
      <w:r>
        <w:rPr>
          <w:sz w:val="22"/>
          <w:szCs w:val="22"/>
        </w:rPr>
        <w:t>Дивиденды по результатам деятельности ПАО «БАНК УРАЛСИБ» в 2024 году не выплачивать.</w:t>
      </w:r>
    </w:p>
    <w:p w:rsidR="00773E2C" w:rsidRDefault="00805665">
      <w:pPr>
        <w:ind w:firstLine="539"/>
        <w:jc w:val="both"/>
        <w:rPr>
          <w:sz w:val="22"/>
          <w:szCs w:val="22"/>
        </w:rPr>
      </w:pPr>
      <w:r>
        <w:rPr>
          <w:sz w:val="22"/>
          <w:szCs w:val="22"/>
        </w:rPr>
        <w:t>По четвертому вопросу повестки дня:</w:t>
      </w:r>
    </w:p>
    <w:p w:rsidR="00773E2C" w:rsidRDefault="00805665">
      <w:pPr>
        <w:ind w:firstLine="539"/>
        <w:jc w:val="both"/>
        <w:rPr>
          <w:sz w:val="22"/>
          <w:szCs w:val="22"/>
        </w:rPr>
      </w:pPr>
      <w:r>
        <w:rPr>
          <w:sz w:val="22"/>
          <w:szCs w:val="22"/>
        </w:rPr>
        <w:t>Назначить Акционерное общество «</w:t>
      </w:r>
      <w:proofErr w:type="spellStart"/>
      <w:r>
        <w:rPr>
          <w:sz w:val="22"/>
          <w:szCs w:val="22"/>
        </w:rPr>
        <w:t>Кэпт</w:t>
      </w:r>
      <w:proofErr w:type="spellEnd"/>
      <w:r>
        <w:rPr>
          <w:sz w:val="22"/>
          <w:szCs w:val="22"/>
        </w:rPr>
        <w:t>» (ОГРН 1027700125628, основной регистрационный номер записи в реестре аудиторов и аудиторских организаций 12006020351) аудиторской организацией Публичного акционерного общества «БАНК УРАЛСИБ».</w:t>
      </w:r>
    </w:p>
    <w:p w:rsidR="00773E2C" w:rsidRDefault="00805665">
      <w:pPr>
        <w:ind w:firstLine="539"/>
        <w:jc w:val="both"/>
        <w:rPr>
          <w:sz w:val="22"/>
          <w:szCs w:val="22"/>
        </w:rPr>
      </w:pPr>
      <w:r>
        <w:rPr>
          <w:sz w:val="22"/>
          <w:szCs w:val="22"/>
        </w:rPr>
        <w:t>По пятому вопросу повестки дня:</w:t>
      </w:r>
    </w:p>
    <w:p w:rsidR="00773E2C" w:rsidRDefault="00805665">
      <w:pPr>
        <w:ind w:firstLine="539"/>
        <w:jc w:val="both"/>
        <w:rPr>
          <w:sz w:val="22"/>
          <w:szCs w:val="22"/>
        </w:rPr>
      </w:pPr>
      <w:r>
        <w:rPr>
          <w:sz w:val="22"/>
          <w:szCs w:val="22"/>
        </w:rPr>
        <w:t>Утвердить Устав Публичного акционерного общества «БАНК УРАЛСИБ» в новой редакции.</w:t>
      </w:r>
    </w:p>
    <w:p w:rsidR="00773E2C" w:rsidRDefault="00805665">
      <w:pPr>
        <w:ind w:firstLine="539"/>
        <w:jc w:val="both"/>
        <w:rPr>
          <w:sz w:val="22"/>
          <w:szCs w:val="22"/>
        </w:rPr>
      </w:pPr>
      <w:r>
        <w:rPr>
          <w:sz w:val="22"/>
          <w:szCs w:val="22"/>
        </w:rPr>
        <w:t>По шестому вопросу повестки дня:</w:t>
      </w:r>
    </w:p>
    <w:p w:rsidR="00773E2C" w:rsidRDefault="00805665">
      <w:pPr>
        <w:ind w:firstLine="539"/>
        <w:jc w:val="both"/>
        <w:rPr>
          <w:sz w:val="22"/>
          <w:szCs w:val="22"/>
        </w:rPr>
      </w:pPr>
      <w:r>
        <w:rPr>
          <w:sz w:val="22"/>
          <w:szCs w:val="22"/>
        </w:rPr>
        <w:t>Утвердить Положение об Общем собрании акционеров Публичного акционерного общества «БАНК УРАЛСИБ» в новой редакции.</w:t>
      </w:r>
    </w:p>
    <w:p w:rsidR="00773E2C" w:rsidRDefault="00805665">
      <w:pPr>
        <w:ind w:firstLine="539"/>
        <w:jc w:val="both"/>
        <w:rPr>
          <w:sz w:val="22"/>
          <w:szCs w:val="22"/>
        </w:rPr>
      </w:pPr>
      <w:r>
        <w:rPr>
          <w:sz w:val="22"/>
          <w:szCs w:val="22"/>
        </w:rPr>
        <w:t>По седьмому вопросу повестки дня:</w:t>
      </w:r>
    </w:p>
    <w:p w:rsidR="00773E2C" w:rsidRDefault="00805665">
      <w:pPr>
        <w:ind w:firstLine="539"/>
        <w:jc w:val="both"/>
        <w:rPr>
          <w:sz w:val="22"/>
          <w:szCs w:val="22"/>
        </w:rPr>
      </w:pPr>
      <w:r>
        <w:rPr>
          <w:sz w:val="22"/>
          <w:szCs w:val="22"/>
        </w:rPr>
        <w:t>Утвердить Положение о Наблюдательном совете Публичного акционерного общества «БАНК УРАЛСИБ» в новой редакции.</w:t>
      </w:r>
    </w:p>
    <w:p w:rsidR="00773E2C" w:rsidRDefault="00805665">
      <w:pPr>
        <w:ind w:firstLine="539"/>
        <w:jc w:val="both"/>
        <w:rPr>
          <w:sz w:val="22"/>
          <w:szCs w:val="22"/>
        </w:rPr>
      </w:pPr>
      <w:r>
        <w:rPr>
          <w:sz w:val="22"/>
          <w:szCs w:val="22"/>
        </w:rPr>
        <w:t>По восьмому вопросу повестки дня:</w:t>
      </w:r>
    </w:p>
    <w:p w:rsidR="00773E2C" w:rsidRDefault="00805665">
      <w:pPr>
        <w:ind w:firstLine="539"/>
        <w:jc w:val="both"/>
        <w:rPr>
          <w:sz w:val="22"/>
          <w:szCs w:val="22"/>
        </w:rPr>
      </w:pPr>
      <w:r>
        <w:rPr>
          <w:sz w:val="22"/>
          <w:szCs w:val="22"/>
        </w:rPr>
        <w:t>Утвердить Положение о Правлении Публичного акционерного общества «БАНК УРАЛСИБ» в новой редакции.</w:t>
      </w:r>
    </w:p>
    <w:p w:rsidR="00773E2C" w:rsidRDefault="00805665">
      <w:pPr>
        <w:ind w:firstLine="539"/>
        <w:jc w:val="both"/>
        <w:rPr>
          <w:sz w:val="22"/>
          <w:szCs w:val="22"/>
        </w:rPr>
      </w:pPr>
      <w:r>
        <w:rPr>
          <w:sz w:val="22"/>
          <w:szCs w:val="22"/>
        </w:rPr>
        <w:t>При подготовке к проведению годового заседания Общего собрания акционеров, в материалах по вопросам утверждения новых редакций Устава Публичного акционерного общества «БАНК УРАЛСИБ», Положения об Общем собрании акционеров Публичного акционерного общества «БАНК УРАЛСИБ», Положения о Наблюдательном совете Публичного акционерного общества «БАНК УРАЛСИБ», Положения о Правлении Публичного акционерного общества «БАНК УРАЛСИБ» акционерам была предоставлена аналитическая информация о вносимых в документы изменениях.</w:t>
      </w:r>
    </w:p>
    <w:p w:rsidR="00C120C9" w:rsidRDefault="00C120C9">
      <w:pPr>
        <w:ind w:firstLine="540"/>
        <w:jc w:val="both"/>
        <w:rPr>
          <w:sz w:val="22"/>
          <w:szCs w:val="22"/>
        </w:rPr>
      </w:pPr>
    </w:p>
    <w:p w:rsidR="005D6701" w:rsidRDefault="005D6701">
      <w:pPr>
        <w:ind w:firstLine="540"/>
        <w:jc w:val="both"/>
        <w:rPr>
          <w:sz w:val="22"/>
          <w:szCs w:val="22"/>
        </w:rPr>
      </w:pPr>
    </w:p>
    <w:p w:rsidR="005D6701" w:rsidRDefault="005D6701">
      <w:pPr>
        <w:ind w:firstLine="540"/>
        <w:jc w:val="both"/>
        <w:rPr>
          <w:sz w:val="22"/>
          <w:szCs w:val="22"/>
        </w:rPr>
      </w:pPr>
    </w:p>
    <w:p w:rsidR="005D6701" w:rsidRDefault="005D6701">
      <w:pPr>
        <w:ind w:firstLine="540"/>
        <w:jc w:val="both"/>
        <w:rPr>
          <w:sz w:val="22"/>
          <w:szCs w:val="22"/>
        </w:rPr>
      </w:pPr>
    </w:p>
    <w:p w:rsidR="00773E2C" w:rsidRDefault="00805665">
      <w:pPr>
        <w:keepNext/>
        <w:ind w:firstLine="567"/>
        <w:jc w:val="both"/>
        <w:outlineLvl w:val="1"/>
        <w:rPr>
          <w:b/>
          <w:bCs/>
          <w:sz w:val="22"/>
          <w:szCs w:val="22"/>
        </w:rPr>
      </w:pPr>
      <w:bookmarkStart w:id="16" w:name="_Toc229052193"/>
      <w:r>
        <w:rPr>
          <w:b/>
          <w:bCs/>
          <w:sz w:val="22"/>
          <w:szCs w:val="22"/>
        </w:rPr>
        <w:lastRenderedPageBreak/>
        <w:t>4.4</w:t>
      </w:r>
      <w:r w:rsidR="009B7C78">
        <w:rPr>
          <w:b/>
          <w:bCs/>
          <w:sz w:val="22"/>
          <w:szCs w:val="22"/>
        </w:rPr>
        <w:t>.</w:t>
      </w:r>
      <w:r>
        <w:rPr>
          <w:b/>
          <w:bCs/>
          <w:sz w:val="22"/>
          <w:szCs w:val="22"/>
        </w:rPr>
        <w:t> Наблюдательн</w:t>
      </w:r>
      <w:r w:rsidR="009A0854">
        <w:rPr>
          <w:b/>
          <w:bCs/>
          <w:sz w:val="22"/>
          <w:szCs w:val="22"/>
        </w:rPr>
        <w:t>ый</w:t>
      </w:r>
      <w:r>
        <w:rPr>
          <w:b/>
          <w:bCs/>
          <w:sz w:val="22"/>
          <w:szCs w:val="22"/>
        </w:rPr>
        <w:t xml:space="preserve"> совет</w:t>
      </w:r>
      <w:bookmarkEnd w:id="16"/>
    </w:p>
    <w:p w:rsidR="00773E2C" w:rsidRDefault="00773E2C">
      <w:pPr>
        <w:ind w:firstLine="567"/>
        <w:jc w:val="both"/>
        <w:rPr>
          <w:sz w:val="22"/>
          <w:szCs w:val="22"/>
        </w:rPr>
      </w:pPr>
    </w:p>
    <w:p w:rsidR="00773E2C" w:rsidRDefault="00805665">
      <w:pPr>
        <w:ind w:firstLine="567"/>
        <w:jc w:val="both"/>
        <w:rPr>
          <w:color w:val="000000"/>
          <w:sz w:val="22"/>
          <w:szCs w:val="22"/>
        </w:rPr>
      </w:pPr>
      <w:r>
        <w:rPr>
          <w:color w:val="000000"/>
          <w:sz w:val="22"/>
          <w:szCs w:val="22"/>
        </w:rPr>
        <w:t>Наблюдательный совет Банка осуществляет общее руководство деятельностью Банка, за исключением решения вопросов, отнесенных Федеральным законом «Об акционерных обществах» и Уставом Банка к компетенции Общего собрания акционеров.</w:t>
      </w:r>
    </w:p>
    <w:p w:rsidR="00773E2C" w:rsidRDefault="00805665">
      <w:pPr>
        <w:ind w:firstLine="567"/>
        <w:jc w:val="both"/>
        <w:rPr>
          <w:color w:val="000000"/>
          <w:sz w:val="22"/>
          <w:szCs w:val="22"/>
        </w:rPr>
      </w:pPr>
      <w:r>
        <w:rPr>
          <w:color w:val="000000"/>
          <w:sz w:val="22"/>
          <w:szCs w:val="22"/>
        </w:rPr>
        <w:t>Количественный состав Наблюдательного совета определен годовым Общим собранием акционеров, состоявшимся 29.06.2018 года, размер Наблюдательного совета составляет 10 членов. Решений об изменении количественного состава Наблюдательного совета последующими Общими собраниями акционеров Банка не принималось.</w:t>
      </w:r>
    </w:p>
    <w:p w:rsidR="00773E2C" w:rsidRDefault="00805665">
      <w:pPr>
        <w:ind w:firstLine="567"/>
        <w:jc w:val="both"/>
        <w:rPr>
          <w:color w:val="000000"/>
          <w:sz w:val="22"/>
          <w:szCs w:val="22"/>
        </w:rPr>
      </w:pPr>
      <w:r>
        <w:rPr>
          <w:color w:val="000000"/>
          <w:sz w:val="22"/>
          <w:szCs w:val="22"/>
        </w:rPr>
        <w:t xml:space="preserve">В 2025 году в состав Наблюдательного совета Банка входили члены Наблюдательного совета, избранные на внеочередном Общем собрании акционеров 09 декабря 2024 года на срок до третьего годового Общего собрания акционеров Банка с момента избрания. Девять членов из десяти являлись неисполнительными директорами, а шесть членов Наблюдательного совета признаны соответствующими критериям </w:t>
      </w:r>
      <w:r>
        <w:rPr>
          <w:sz w:val="22"/>
          <w:szCs w:val="22"/>
        </w:rPr>
        <w:t>независимости.</w:t>
      </w:r>
    </w:p>
    <w:p w:rsidR="00773E2C" w:rsidRDefault="00773E2C">
      <w:pPr>
        <w:ind w:firstLine="567"/>
        <w:jc w:val="both"/>
        <w:rPr>
          <w:b/>
          <w:i/>
          <w:color w:val="000000"/>
          <w:sz w:val="22"/>
          <w:szCs w:val="22"/>
        </w:rPr>
      </w:pPr>
    </w:p>
    <w:p w:rsidR="00773E2C" w:rsidRDefault="00805665">
      <w:pPr>
        <w:ind w:firstLine="567"/>
        <w:jc w:val="both"/>
        <w:rPr>
          <w:b/>
          <w:iCs/>
          <w:color w:val="000000"/>
          <w:sz w:val="22"/>
          <w:szCs w:val="22"/>
        </w:rPr>
      </w:pPr>
      <w:r>
        <w:rPr>
          <w:b/>
          <w:iCs/>
          <w:color w:val="000000"/>
          <w:sz w:val="22"/>
          <w:szCs w:val="22"/>
        </w:rPr>
        <w:t>Деятельность Наблюдательного совета в 2025 году</w:t>
      </w:r>
    </w:p>
    <w:p w:rsidR="00773E2C" w:rsidRDefault="00773E2C">
      <w:pPr>
        <w:ind w:firstLine="567"/>
        <w:jc w:val="both"/>
        <w:rPr>
          <w:color w:val="000000"/>
          <w:sz w:val="22"/>
          <w:szCs w:val="22"/>
        </w:rPr>
      </w:pPr>
    </w:p>
    <w:p w:rsidR="00773E2C" w:rsidRDefault="00805665">
      <w:pPr>
        <w:ind w:firstLine="567"/>
        <w:jc w:val="both"/>
        <w:rPr>
          <w:color w:val="000000"/>
          <w:sz w:val="22"/>
          <w:szCs w:val="22"/>
        </w:rPr>
      </w:pPr>
      <w:r>
        <w:rPr>
          <w:color w:val="000000"/>
          <w:sz w:val="22"/>
          <w:szCs w:val="22"/>
        </w:rPr>
        <w:t>В соответствии с Положением о Наблюдательном совете Публичного акционерного общества «БАНК УРАЛСИБ»</w:t>
      </w:r>
      <w:r>
        <w:rPr>
          <w:sz w:val="22"/>
          <w:szCs w:val="22"/>
        </w:rPr>
        <w:t>,</w:t>
      </w:r>
      <w:r>
        <w:rPr>
          <w:color w:val="000000"/>
          <w:sz w:val="22"/>
          <w:szCs w:val="22"/>
        </w:rPr>
        <w:t xml:space="preserve"> р</w:t>
      </w:r>
      <w:r>
        <w:rPr>
          <w:sz w:val="22"/>
          <w:szCs w:val="22"/>
        </w:rPr>
        <w:t>ешения Наблюдательного совета могут приниматься на заседаниях или заочным голосованием. При принятии решений Наблюдательным советом на заседании, голосование на заседании может совмещаться с заочным голосованием. Заседания или заочные голосования для принятия решений Наблюдательным советом проводятся по мере необходимости, но не реже одного раза в квартал.</w:t>
      </w:r>
    </w:p>
    <w:p w:rsidR="00773E2C" w:rsidRDefault="00805665">
      <w:pPr>
        <w:ind w:firstLine="567"/>
        <w:jc w:val="both"/>
        <w:rPr>
          <w:color w:val="000000"/>
          <w:sz w:val="22"/>
          <w:szCs w:val="22"/>
        </w:rPr>
      </w:pPr>
      <w:r>
        <w:rPr>
          <w:sz w:val="22"/>
          <w:szCs w:val="22"/>
        </w:rPr>
        <w:t>Способ принятия решения Наблюдательным советом предусматривается планом его работы на соответствующий период или определяется Председателем Наблюдательного совета или лицом, выполняющим его функции, при принятии решения о проведении заседания или заочного голосования.</w:t>
      </w:r>
    </w:p>
    <w:p w:rsidR="00773E2C" w:rsidRDefault="00805665">
      <w:pPr>
        <w:ind w:firstLine="567"/>
        <w:jc w:val="both"/>
        <w:rPr>
          <w:color w:val="000000"/>
          <w:sz w:val="22"/>
          <w:szCs w:val="22"/>
        </w:rPr>
      </w:pPr>
      <w:r>
        <w:rPr>
          <w:color w:val="000000"/>
          <w:sz w:val="22"/>
          <w:szCs w:val="22"/>
        </w:rPr>
        <w:t>Решения по следующим вопросам принимаются на очных заседаниях Наблюдательного совета:</w:t>
      </w:r>
    </w:p>
    <w:p w:rsidR="00773E2C" w:rsidRDefault="00805665">
      <w:pPr>
        <w:numPr>
          <w:ilvl w:val="0"/>
          <w:numId w:val="25"/>
        </w:numPr>
        <w:tabs>
          <w:tab w:val="left" w:pos="851"/>
        </w:tabs>
        <w:autoSpaceDE w:val="0"/>
        <w:autoSpaceDN w:val="0"/>
        <w:adjustRightInd w:val="0"/>
        <w:ind w:left="851" w:hanging="284"/>
        <w:jc w:val="both"/>
        <w:rPr>
          <w:color w:val="000000"/>
          <w:sz w:val="22"/>
          <w:szCs w:val="22"/>
        </w:rPr>
      </w:pPr>
      <w:r>
        <w:rPr>
          <w:color w:val="000000"/>
          <w:sz w:val="22"/>
          <w:szCs w:val="22"/>
        </w:rPr>
        <w:t>определение приоритетных направлений деятельности Банка;</w:t>
      </w:r>
    </w:p>
    <w:p w:rsidR="00773E2C" w:rsidRDefault="00805665">
      <w:pPr>
        <w:numPr>
          <w:ilvl w:val="0"/>
          <w:numId w:val="25"/>
        </w:numPr>
        <w:tabs>
          <w:tab w:val="left" w:pos="851"/>
        </w:tabs>
        <w:autoSpaceDE w:val="0"/>
        <w:autoSpaceDN w:val="0"/>
        <w:adjustRightInd w:val="0"/>
        <w:ind w:left="851" w:hanging="284"/>
        <w:jc w:val="both"/>
        <w:rPr>
          <w:color w:val="000000"/>
          <w:sz w:val="22"/>
          <w:szCs w:val="22"/>
        </w:rPr>
      </w:pPr>
      <w:r>
        <w:rPr>
          <w:color w:val="000000"/>
          <w:sz w:val="22"/>
          <w:szCs w:val="22"/>
        </w:rPr>
        <w:t>утверждение бизнес-плана Банка;</w:t>
      </w:r>
    </w:p>
    <w:p w:rsidR="00773E2C" w:rsidRDefault="00805665">
      <w:pPr>
        <w:numPr>
          <w:ilvl w:val="0"/>
          <w:numId w:val="25"/>
        </w:numPr>
        <w:tabs>
          <w:tab w:val="left" w:pos="851"/>
        </w:tabs>
        <w:autoSpaceDE w:val="0"/>
        <w:autoSpaceDN w:val="0"/>
        <w:adjustRightInd w:val="0"/>
        <w:ind w:left="851" w:hanging="284"/>
        <w:jc w:val="both"/>
        <w:rPr>
          <w:color w:val="000000"/>
          <w:sz w:val="22"/>
          <w:szCs w:val="22"/>
        </w:rPr>
      </w:pPr>
      <w:r>
        <w:rPr>
          <w:color w:val="000000"/>
          <w:sz w:val="22"/>
          <w:szCs w:val="22"/>
        </w:rPr>
        <w:t>проведение годового заседания Общего собрания акционеров, проведение или отказ в проведении внеочередного заседания Общего собрания акционеров либо заочного голосования;</w:t>
      </w:r>
    </w:p>
    <w:p w:rsidR="00773E2C" w:rsidRDefault="00805665">
      <w:pPr>
        <w:numPr>
          <w:ilvl w:val="0"/>
          <w:numId w:val="25"/>
        </w:numPr>
        <w:tabs>
          <w:tab w:val="left" w:pos="851"/>
        </w:tabs>
        <w:autoSpaceDE w:val="0"/>
        <w:autoSpaceDN w:val="0"/>
        <w:adjustRightInd w:val="0"/>
        <w:ind w:left="851" w:hanging="284"/>
        <w:jc w:val="both"/>
        <w:rPr>
          <w:color w:val="000000"/>
          <w:sz w:val="22"/>
          <w:szCs w:val="22"/>
        </w:rPr>
      </w:pPr>
      <w:r>
        <w:rPr>
          <w:color w:val="000000"/>
          <w:sz w:val="22"/>
          <w:szCs w:val="22"/>
        </w:rPr>
        <w:t>предварительное утверждение годового отчета Банка;</w:t>
      </w:r>
    </w:p>
    <w:p w:rsidR="00773E2C" w:rsidRDefault="00805665">
      <w:pPr>
        <w:numPr>
          <w:ilvl w:val="0"/>
          <w:numId w:val="25"/>
        </w:numPr>
        <w:tabs>
          <w:tab w:val="left" w:pos="851"/>
        </w:tabs>
        <w:autoSpaceDE w:val="0"/>
        <w:autoSpaceDN w:val="0"/>
        <w:adjustRightInd w:val="0"/>
        <w:ind w:left="851" w:hanging="284"/>
        <w:jc w:val="both"/>
        <w:rPr>
          <w:color w:val="000000"/>
          <w:sz w:val="22"/>
          <w:szCs w:val="22"/>
        </w:rPr>
      </w:pPr>
      <w:r>
        <w:rPr>
          <w:color w:val="000000"/>
          <w:sz w:val="22"/>
          <w:szCs w:val="22"/>
        </w:rPr>
        <w:t>избрание и переизбрание председателя Наблюдательного совета;</w:t>
      </w:r>
    </w:p>
    <w:p w:rsidR="00773E2C" w:rsidRDefault="00805665">
      <w:pPr>
        <w:numPr>
          <w:ilvl w:val="0"/>
          <w:numId w:val="25"/>
        </w:numPr>
        <w:tabs>
          <w:tab w:val="left" w:pos="851"/>
        </w:tabs>
        <w:autoSpaceDE w:val="0"/>
        <w:autoSpaceDN w:val="0"/>
        <w:adjustRightInd w:val="0"/>
        <w:ind w:left="851" w:hanging="284"/>
        <w:jc w:val="both"/>
        <w:rPr>
          <w:color w:val="000000"/>
          <w:sz w:val="22"/>
          <w:szCs w:val="22"/>
        </w:rPr>
      </w:pPr>
      <w:r>
        <w:rPr>
          <w:color w:val="000000"/>
          <w:sz w:val="22"/>
          <w:szCs w:val="22"/>
        </w:rPr>
        <w:t>образование исполнительных органов Банка и досрочное прекращение их полномочий;</w:t>
      </w:r>
    </w:p>
    <w:p w:rsidR="00773E2C" w:rsidRDefault="00805665">
      <w:pPr>
        <w:numPr>
          <w:ilvl w:val="0"/>
          <w:numId w:val="25"/>
        </w:numPr>
        <w:tabs>
          <w:tab w:val="left" w:pos="851"/>
        </w:tabs>
        <w:autoSpaceDE w:val="0"/>
        <w:autoSpaceDN w:val="0"/>
        <w:adjustRightInd w:val="0"/>
        <w:ind w:left="851" w:hanging="284"/>
        <w:jc w:val="both"/>
        <w:rPr>
          <w:color w:val="000000"/>
          <w:sz w:val="22"/>
          <w:szCs w:val="22"/>
        </w:rPr>
      </w:pPr>
      <w:r>
        <w:rPr>
          <w:color w:val="000000"/>
          <w:sz w:val="22"/>
          <w:szCs w:val="22"/>
        </w:rPr>
        <w:t>вынесение на рассмотрение Общего собрания акционеров вопросов о реорганизации или ликвидации Банка;</w:t>
      </w:r>
    </w:p>
    <w:p w:rsidR="00773E2C" w:rsidRDefault="00805665">
      <w:pPr>
        <w:numPr>
          <w:ilvl w:val="0"/>
          <w:numId w:val="25"/>
        </w:numPr>
        <w:tabs>
          <w:tab w:val="left" w:pos="851"/>
        </w:tabs>
        <w:autoSpaceDE w:val="0"/>
        <w:autoSpaceDN w:val="0"/>
        <w:adjustRightInd w:val="0"/>
        <w:ind w:left="851" w:hanging="284"/>
        <w:jc w:val="both"/>
        <w:rPr>
          <w:color w:val="000000"/>
          <w:sz w:val="22"/>
          <w:szCs w:val="22"/>
        </w:rPr>
      </w:pPr>
      <w:r>
        <w:rPr>
          <w:color w:val="000000"/>
          <w:sz w:val="22"/>
          <w:szCs w:val="22"/>
        </w:rPr>
        <w:t>одобрение существенных сделок Банка</w:t>
      </w:r>
      <w:r>
        <w:rPr>
          <w:color w:val="000000"/>
          <w:sz w:val="22"/>
          <w:vertAlign w:val="superscript"/>
        </w:rPr>
        <w:footnoteReference w:id="1"/>
      </w:r>
      <w:r>
        <w:rPr>
          <w:color w:val="000000"/>
          <w:sz w:val="22"/>
          <w:szCs w:val="22"/>
        </w:rPr>
        <w:t>;</w:t>
      </w:r>
    </w:p>
    <w:p w:rsidR="00773E2C" w:rsidRDefault="00805665">
      <w:pPr>
        <w:numPr>
          <w:ilvl w:val="0"/>
          <w:numId w:val="25"/>
        </w:numPr>
        <w:tabs>
          <w:tab w:val="left" w:pos="851"/>
        </w:tabs>
        <w:autoSpaceDE w:val="0"/>
        <w:autoSpaceDN w:val="0"/>
        <w:adjustRightInd w:val="0"/>
        <w:ind w:left="851" w:hanging="284"/>
        <w:jc w:val="both"/>
        <w:rPr>
          <w:color w:val="000000"/>
          <w:sz w:val="22"/>
          <w:szCs w:val="22"/>
        </w:rPr>
      </w:pPr>
      <w:r>
        <w:rPr>
          <w:color w:val="000000"/>
          <w:sz w:val="22"/>
          <w:szCs w:val="22"/>
        </w:rPr>
        <w:t>утверждение регистратора Банка и условий договора о ведении реестра с ним, а также расторжение договора о ведении реестра с регистратором;</w:t>
      </w:r>
    </w:p>
    <w:p w:rsidR="00773E2C" w:rsidRDefault="00805665">
      <w:pPr>
        <w:numPr>
          <w:ilvl w:val="0"/>
          <w:numId w:val="25"/>
        </w:numPr>
        <w:tabs>
          <w:tab w:val="left" w:pos="851"/>
        </w:tabs>
        <w:autoSpaceDE w:val="0"/>
        <w:autoSpaceDN w:val="0"/>
        <w:adjustRightInd w:val="0"/>
        <w:ind w:left="851" w:hanging="284"/>
        <w:jc w:val="both"/>
        <w:rPr>
          <w:color w:val="000000"/>
          <w:sz w:val="22"/>
          <w:szCs w:val="22"/>
        </w:rPr>
      </w:pPr>
      <w:r>
        <w:rPr>
          <w:color w:val="000000"/>
          <w:sz w:val="22"/>
          <w:szCs w:val="22"/>
        </w:rPr>
        <w:t>вопросы, связанные с поступлением в Банк обязательного или добровольного предложения;</w:t>
      </w:r>
    </w:p>
    <w:p w:rsidR="00773E2C" w:rsidRDefault="00805665">
      <w:pPr>
        <w:numPr>
          <w:ilvl w:val="0"/>
          <w:numId w:val="25"/>
        </w:numPr>
        <w:tabs>
          <w:tab w:val="left" w:pos="851"/>
        </w:tabs>
        <w:autoSpaceDE w:val="0"/>
        <w:autoSpaceDN w:val="0"/>
        <w:adjustRightInd w:val="0"/>
        <w:ind w:left="851" w:hanging="284"/>
        <w:jc w:val="both"/>
        <w:rPr>
          <w:color w:val="000000"/>
          <w:sz w:val="22"/>
          <w:szCs w:val="22"/>
        </w:rPr>
      </w:pPr>
      <w:r>
        <w:rPr>
          <w:color w:val="000000"/>
          <w:sz w:val="22"/>
          <w:szCs w:val="22"/>
        </w:rPr>
        <w:t>вопросы, связанные с увеличением уставного капитала Банка (в том числе определение цены имущества, вносимого в оплату размещаемых Банком дополнительных акций);</w:t>
      </w:r>
    </w:p>
    <w:p w:rsidR="00773E2C" w:rsidRDefault="00805665">
      <w:pPr>
        <w:numPr>
          <w:ilvl w:val="0"/>
          <w:numId w:val="25"/>
        </w:numPr>
        <w:tabs>
          <w:tab w:val="left" w:pos="851"/>
        </w:tabs>
        <w:autoSpaceDE w:val="0"/>
        <w:autoSpaceDN w:val="0"/>
        <w:adjustRightInd w:val="0"/>
        <w:ind w:left="851" w:hanging="284"/>
        <w:jc w:val="both"/>
        <w:rPr>
          <w:color w:val="000000"/>
          <w:sz w:val="22"/>
          <w:szCs w:val="22"/>
        </w:rPr>
      </w:pPr>
      <w:r>
        <w:rPr>
          <w:color w:val="000000"/>
          <w:sz w:val="22"/>
          <w:szCs w:val="22"/>
        </w:rPr>
        <w:t>рассмотрение отчета об исполнении бизнес-плана Банка за отчетный год;</w:t>
      </w:r>
    </w:p>
    <w:p w:rsidR="00773E2C" w:rsidRDefault="00805665">
      <w:pPr>
        <w:numPr>
          <w:ilvl w:val="0"/>
          <w:numId w:val="25"/>
        </w:numPr>
        <w:tabs>
          <w:tab w:val="left" w:pos="851"/>
        </w:tabs>
        <w:autoSpaceDE w:val="0"/>
        <w:autoSpaceDN w:val="0"/>
        <w:adjustRightInd w:val="0"/>
        <w:ind w:left="851" w:hanging="284"/>
        <w:jc w:val="both"/>
        <w:rPr>
          <w:color w:val="000000"/>
          <w:sz w:val="22"/>
          <w:szCs w:val="22"/>
        </w:rPr>
      </w:pPr>
      <w:r>
        <w:rPr>
          <w:color w:val="000000"/>
          <w:sz w:val="22"/>
          <w:szCs w:val="22"/>
        </w:rPr>
        <w:t xml:space="preserve">вопросы, связанные с листингом и </w:t>
      </w:r>
      <w:proofErr w:type="spellStart"/>
      <w:r>
        <w:rPr>
          <w:color w:val="000000"/>
          <w:sz w:val="22"/>
          <w:szCs w:val="22"/>
        </w:rPr>
        <w:t>делистингом</w:t>
      </w:r>
      <w:proofErr w:type="spellEnd"/>
      <w:r>
        <w:rPr>
          <w:color w:val="000000"/>
          <w:sz w:val="22"/>
          <w:szCs w:val="22"/>
        </w:rPr>
        <w:t xml:space="preserve"> акций Банка;</w:t>
      </w:r>
    </w:p>
    <w:p w:rsidR="00773E2C" w:rsidRDefault="00805665">
      <w:pPr>
        <w:numPr>
          <w:ilvl w:val="0"/>
          <w:numId w:val="25"/>
        </w:numPr>
        <w:tabs>
          <w:tab w:val="left" w:pos="851"/>
        </w:tabs>
        <w:autoSpaceDE w:val="0"/>
        <w:autoSpaceDN w:val="0"/>
        <w:adjustRightInd w:val="0"/>
        <w:ind w:left="851" w:hanging="284"/>
        <w:jc w:val="both"/>
        <w:rPr>
          <w:color w:val="000000"/>
          <w:sz w:val="22"/>
          <w:szCs w:val="22"/>
        </w:rPr>
      </w:pPr>
      <w:r>
        <w:rPr>
          <w:color w:val="000000"/>
          <w:sz w:val="22"/>
          <w:szCs w:val="22"/>
        </w:rPr>
        <w:t>рассмотрение результатов оценки деятельности Наблюдательного совета за отчетный период;</w:t>
      </w:r>
    </w:p>
    <w:p w:rsidR="00773E2C" w:rsidRDefault="00805665">
      <w:pPr>
        <w:numPr>
          <w:ilvl w:val="0"/>
          <w:numId w:val="25"/>
        </w:numPr>
        <w:tabs>
          <w:tab w:val="left" w:pos="851"/>
        </w:tabs>
        <w:autoSpaceDE w:val="0"/>
        <w:autoSpaceDN w:val="0"/>
        <w:adjustRightInd w:val="0"/>
        <w:ind w:left="851" w:hanging="284"/>
        <w:jc w:val="both"/>
        <w:rPr>
          <w:color w:val="000000"/>
          <w:sz w:val="22"/>
          <w:szCs w:val="22"/>
        </w:rPr>
      </w:pPr>
      <w:r>
        <w:rPr>
          <w:color w:val="000000"/>
          <w:sz w:val="22"/>
          <w:szCs w:val="22"/>
        </w:rPr>
        <w:t>принятие решения о вознаграждении членов исполнительных органов Банка и иных ключевых руководящих работников;</w:t>
      </w:r>
    </w:p>
    <w:p w:rsidR="00773E2C" w:rsidRDefault="00805665">
      <w:pPr>
        <w:numPr>
          <w:ilvl w:val="0"/>
          <w:numId w:val="25"/>
        </w:numPr>
        <w:tabs>
          <w:tab w:val="left" w:pos="851"/>
        </w:tabs>
        <w:autoSpaceDE w:val="0"/>
        <w:autoSpaceDN w:val="0"/>
        <w:adjustRightInd w:val="0"/>
        <w:ind w:left="851" w:hanging="284"/>
        <w:jc w:val="both"/>
        <w:rPr>
          <w:color w:val="000000"/>
          <w:sz w:val="22"/>
          <w:szCs w:val="22"/>
        </w:rPr>
      </w:pPr>
      <w:r>
        <w:rPr>
          <w:color w:val="000000"/>
          <w:sz w:val="22"/>
          <w:szCs w:val="22"/>
        </w:rPr>
        <w:t>рассмотрение Стратегии управления рисками и капиталом Банка;</w:t>
      </w:r>
    </w:p>
    <w:p w:rsidR="00773E2C" w:rsidRDefault="00805665">
      <w:pPr>
        <w:numPr>
          <w:ilvl w:val="0"/>
          <w:numId w:val="25"/>
        </w:numPr>
        <w:tabs>
          <w:tab w:val="left" w:pos="851"/>
        </w:tabs>
        <w:autoSpaceDE w:val="0"/>
        <w:autoSpaceDN w:val="0"/>
        <w:adjustRightInd w:val="0"/>
        <w:ind w:left="851" w:hanging="284"/>
        <w:jc w:val="both"/>
        <w:rPr>
          <w:color w:val="000000"/>
          <w:sz w:val="22"/>
          <w:szCs w:val="22"/>
        </w:rPr>
      </w:pPr>
      <w:r>
        <w:rPr>
          <w:color w:val="000000"/>
          <w:sz w:val="22"/>
          <w:szCs w:val="22"/>
        </w:rPr>
        <w:t>утверждение дивидендной политики Банка.</w:t>
      </w:r>
    </w:p>
    <w:p w:rsidR="00773E2C" w:rsidRDefault="00805665">
      <w:pPr>
        <w:ind w:firstLine="567"/>
        <w:jc w:val="both"/>
        <w:rPr>
          <w:color w:val="000000" w:themeColor="text1"/>
          <w:sz w:val="22"/>
          <w:szCs w:val="22"/>
        </w:rPr>
      </w:pPr>
      <w:r>
        <w:rPr>
          <w:color w:val="000000" w:themeColor="text1"/>
          <w:sz w:val="22"/>
          <w:szCs w:val="22"/>
        </w:rPr>
        <w:t>В 2025 году было проведено 18 заседаний или заочных голосований Наблюдательного совета. Из них 14 были проведены в форме заочных голосований и 4 в форме заседания.</w:t>
      </w:r>
    </w:p>
    <w:p w:rsidR="00773E2C" w:rsidRDefault="00805665">
      <w:pPr>
        <w:ind w:firstLine="567"/>
        <w:jc w:val="both"/>
        <w:rPr>
          <w:color w:val="000000" w:themeColor="text1"/>
          <w:sz w:val="22"/>
          <w:szCs w:val="22"/>
        </w:rPr>
      </w:pPr>
      <w:r>
        <w:rPr>
          <w:color w:val="000000" w:themeColor="text1"/>
          <w:sz w:val="22"/>
          <w:szCs w:val="22"/>
        </w:rPr>
        <w:lastRenderedPageBreak/>
        <w:t>На заседаниях Наблюдательного совета в 2025 году были рассмотрены следующие основные вопросы</w:t>
      </w:r>
      <w:r w:rsidR="001701BD">
        <w:rPr>
          <w:color w:val="000000" w:themeColor="text1"/>
          <w:sz w:val="22"/>
          <w:szCs w:val="22"/>
        </w:rPr>
        <w:t>.</w:t>
      </w:r>
    </w:p>
    <w:p w:rsidR="00773E2C" w:rsidRDefault="00805665">
      <w:pPr>
        <w:ind w:firstLine="567"/>
        <w:jc w:val="both"/>
        <w:rPr>
          <w:b/>
          <w:bCs/>
          <w:color w:val="000000"/>
          <w:sz w:val="22"/>
          <w:szCs w:val="22"/>
        </w:rPr>
      </w:pPr>
      <w:r>
        <w:rPr>
          <w:b/>
          <w:bCs/>
          <w:color w:val="000000"/>
          <w:sz w:val="22"/>
          <w:szCs w:val="22"/>
        </w:rPr>
        <w:t>В части определения приоритетных направлений деятельности:</w:t>
      </w:r>
    </w:p>
    <w:p w:rsidR="00773E2C" w:rsidRDefault="00805665">
      <w:pPr>
        <w:numPr>
          <w:ilvl w:val="0"/>
          <w:numId w:val="26"/>
        </w:numPr>
        <w:tabs>
          <w:tab w:val="left" w:pos="851"/>
        </w:tabs>
        <w:autoSpaceDE w:val="0"/>
        <w:autoSpaceDN w:val="0"/>
        <w:adjustRightInd w:val="0"/>
        <w:ind w:left="851" w:hanging="284"/>
        <w:jc w:val="both"/>
        <w:rPr>
          <w:color w:val="000000"/>
          <w:sz w:val="22"/>
          <w:szCs w:val="22"/>
        </w:rPr>
      </w:pPr>
      <w:r>
        <w:rPr>
          <w:color w:val="000000"/>
          <w:sz w:val="22"/>
          <w:szCs w:val="22"/>
        </w:rPr>
        <w:t>утвержден Бизнес-план ПАО «БАНК УРАЛСИБ» на 2026 год;</w:t>
      </w:r>
    </w:p>
    <w:p w:rsidR="00773E2C" w:rsidRDefault="00805665">
      <w:pPr>
        <w:numPr>
          <w:ilvl w:val="0"/>
          <w:numId w:val="26"/>
        </w:numPr>
        <w:tabs>
          <w:tab w:val="left" w:pos="851"/>
        </w:tabs>
        <w:autoSpaceDE w:val="0"/>
        <w:autoSpaceDN w:val="0"/>
        <w:adjustRightInd w:val="0"/>
        <w:ind w:left="851" w:hanging="284"/>
        <w:jc w:val="both"/>
        <w:rPr>
          <w:color w:val="000000"/>
          <w:sz w:val="22"/>
          <w:szCs w:val="22"/>
        </w:rPr>
      </w:pPr>
      <w:r>
        <w:rPr>
          <w:color w:val="000000"/>
          <w:sz w:val="22"/>
          <w:szCs w:val="22"/>
        </w:rPr>
        <w:t>утвержден Отчет по итогам реализации в 2024 году Стратегии развития ПАО «БАНК УРАЛСИБ» на 2024-2026 годы.</w:t>
      </w:r>
    </w:p>
    <w:p w:rsidR="00773E2C" w:rsidRDefault="00805665">
      <w:pPr>
        <w:ind w:firstLine="567"/>
        <w:jc w:val="both"/>
        <w:rPr>
          <w:b/>
          <w:bCs/>
          <w:color w:val="000000"/>
          <w:sz w:val="22"/>
          <w:szCs w:val="22"/>
        </w:rPr>
      </w:pPr>
      <w:r>
        <w:rPr>
          <w:b/>
          <w:bCs/>
          <w:color w:val="000000"/>
          <w:sz w:val="22"/>
          <w:szCs w:val="22"/>
        </w:rPr>
        <w:t>В части осуществления внутреннего контроля:</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 Отчет о статусе исполнения плана работы Службы внутреннего аудита на 2025 год;</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 Отчет о результатах оценки эффективности внутренних процедур оценки достаточности капитала Банка за 2024 год;</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 Отчет о результатах оценки эффективности внутренних процедур оценки достаточности капитала Банковской группы Банка за 2024 год;</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 Отчет Службы внутреннего контроля Банка о проделанной работе за 2024 год;</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определена стоимость аудиторских услуг в 2025 году;</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 Отчет о результатах реализации в 2024 году Правил внутреннего контроля Банка в целях противодействия легализации (отмыванию) доходов, полученных преступным путем, финансированию терроризма и финансирования распространения оружия массового уничтожения;</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утверждена новая редакция Правил внутреннего контроля ПАО «БАНК УРАЛСИБ» по предотвращению, выявлению и пресечению неправомерного использования инсайдерской информации и манипулирования рынком;</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 Отчет о статусе выполнения плана работы Службы внутреннего аудита Банка на 2025 год;</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 План работы Службы внутреннего аудита Банка на 2026 год.</w:t>
      </w:r>
    </w:p>
    <w:p w:rsidR="00773E2C" w:rsidRDefault="00805665">
      <w:pPr>
        <w:ind w:firstLine="567"/>
        <w:jc w:val="both"/>
        <w:rPr>
          <w:b/>
          <w:bCs/>
          <w:color w:val="000000"/>
          <w:sz w:val="22"/>
          <w:szCs w:val="22"/>
        </w:rPr>
      </w:pPr>
      <w:r>
        <w:rPr>
          <w:b/>
          <w:bCs/>
          <w:color w:val="000000"/>
          <w:sz w:val="22"/>
          <w:szCs w:val="22"/>
        </w:rPr>
        <w:t>В части управления рисками:</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 Отчет о значимых рисках и достаточности капитала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 Отчет о результатах выполнения ВПОДК Банка и Банковской группы Банка за 2024 год;</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 Отчет об управлении операционным риском Банка за 2024 год;</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 xml:space="preserve">утвержден Отчет о результатах оценки эффективности управления операционным риском в Банке и Банковской группе Банка за 2024 год; </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 Отчет о результатах контрольных процедур по оценке качества предоставляемых финансовых услуг по итогам 2024 года;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sz w:val="22"/>
        </w:rPr>
        <w:t>утвержден Отчет о мониторинге регуляторного риска по направлениям деятельности Банка с высоким уровнем регуляторного риска по результатам 2024 года;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 Отчет по управлению операционной надежностью технологических процессов за 2024 год;</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 вопрос актуальности документов системы ВПОДК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утверждена новая редакция Стратегии управления рисками и капиталом Банка и банковской группы;</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утверждена новая редакция Кредитной политики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утверждена новая редакция Политики управления операционным риском Банка и Банковской группы;</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утверждена новая редакция Политики управления риском информационной безопасности Банка и Банковской группы;</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утверждена новая редакция Политики управления процентным риском банковской книги Банка и Банковской группы;</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 xml:space="preserve"> утверждена новая редакция Политики управления риском концентрации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 xml:space="preserve"> утверждена новая редакция Политики управления регуляторным риском Банка и Банковской группы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утверждены новые редакции Плана обеспечения непрерывности и восстановления деятельности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утверждено Заключение о расчете и обосновании сигнальных и контрольных значений контрольных показателей уровня операционного риска Банка на 2025 год;</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lastRenderedPageBreak/>
        <w:t>утверждено Заключение о расчете и обосновании сигнальных и контрольных значений контрольных показателей уровня риска информационной безопасности Банка, а также сигнальных и контрольных значений контрольных показателей уровня риска информационной безопасности Банка на 2025 год в целом по Банку.</w:t>
      </w:r>
    </w:p>
    <w:p w:rsidR="00773E2C" w:rsidRDefault="00805665">
      <w:pPr>
        <w:ind w:firstLine="567"/>
        <w:jc w:val="both"/>
        <w:rPr>
          <w:b/>
          <w:bCs/>
          <w:color w:val="000000"/>
          <w:sz w:val="22"/>
          <w:szCs w:val="22"/>
        </w:rPr>
      </w:pPr>
      <w:r>
        <w:rPr>
          <w:b/>
          <w:bCs/>
          <w:color w:val="000000"/>
          <w:sz w:val="22"/>
          <w:szCs w:val="22"/>
        </w:rPr>
        <w:t xml:space="preserve">В части </w:t>
      </w:r>
      <w:r>
        <w:rPr>
          <w:b/>
          <w:bCs/>
          <w:color w:val="000000" w:themeColor="text1"/>
          <w:sz w:val="22"/>
          <w:szCs w:val="22"/>
        </w:rPr>
        <w:t>рассмотрения финансовых результатов деятельности Банка</w:t>
      </w:r>
      <w:r>
        <w:rPr>
          <w:b/>
          <w:bCs/>
          <w:color w:val="000000"/>
          <w:sz w:val="22"/>
          <w:szCs w:val="22"/>
        </w:rPr>
        <w:t>:</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рассматривались отчеты о финансовых результатах деятельности Банка по стандартам РСБУ.</w:t>
      </w:r>
    </w:p>
    <w:p w:rsidR="00773E2C" w:rsidRDefault="00805665">
      <w:pPr>
        <w:ind w:firstLine="567"/>
        <w:jc w:val="both"/>
        <w:rPr>
          <w:b/>
          <w:bCs/>
          <w:color w:val="000000"/>
          <w:sz w:val="22"/>
          <w:szCs w:val="22"/>
        </w:rPr>
      </w:pPr>
      <w:r>
        <w:rPr>
          <w:b/>
          <w:bCs/>
          <w:color w:val="000000"/>
          <w:sz w:val="22"/>
          <w:szCs w:val="22"/>
        </w:rPr>
        <w:t>В части реализации информационной политики:</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 Отчет об исполнении Информационной политики Банка за 2024 год.</w:t>
      </w:r>
    </w:p>
    <w:p w:rsidR="00773E2C" w:rsidRDefault="00805665">
      <w:pPr>
        <w:ind w:firstLine="567"/>
        <w:jc w:val="both"/>
        <w:rPr>
          <w:b/>
          <w:bCs/>
          <w:color w:val="000000"/>
          <w:sz w:val="22"/>
          <w:szCs w:val="22"/>
        </w:rPr>
      </w:pPr>
      <w:r>
        <w:rPr>
          <w:b/>
          <w:bCs/>
          <w:color w:val="000000"/>
          <w:sz w:val="22"/>
          <w:szCs w:val="22"/>
        </w:rPr>
        <w:t>В части кадровой политики и политики по вознаграждению:</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 фонд оплаты труда ПАО «БАНК УРАЛСИБ» на 2025 год;</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утверждена величина коэффициента устойчивости;</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 корректирующий коэффициент ежегодного премирования для Председателя Правления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утверждены отчеты об исполнении индивидуальных КПЭ Председателя Правления, членов Правления и Заместителя Председателя Правления за 2024 год;</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утверждены размеры индивидуальных премий членов Правления и Заместителя Председателя Правления по итогам 2024 года, включая суммы из фонда дополнительного ежегодного премирования;</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утверждены индексации отложенных частей премий, подлежащих выплате в 2025 году;</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утверждены размеры отложенных частей премий членов Правления и Заместителя Председателя Правления, подлежащих выплате в 2025 году;</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утверждены выплата крупных вознаграждений работникам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 размер индивидуальной премии руководителю Службы внутреннего аудита по итогам 2024 года;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 размер премиального фонда работников Службы внутреннего аудита по итогам 2024 года;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 фонд оплаты труда Банка на 2026 год;</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утверждена новая редакция Положения об оплате труда работников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утверждена новая редакция Положения о материальном стимулировании работников, принимающих риски, работников подразделений, осуществляющих управление рисками, и работников подразделений, осуществляющих внутренний контроль,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утверждена новая редакция Положения о материальном стимулировании работников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утверждена новая редакция Положения о ежегодном премировании членов Правления и заместителей Председателя Правления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утверждена Карта ежегодных ключевых показателей эффективности членов Правления и заместителей Председателя Правления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утверждена новая редакция Карты ключевых показателей эффективности руководителя Службы внутреннего аудита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прекращены полномочия члена Правления;</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 Отчет о независимой оценке системы оплаты труда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 Отчет о результатах мониторинга системы оплаты труда Банка за 2024 год;</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рассмотрены предложения подразделений, осуществляющих внутренний контроль, и подразделений, осуществляющих управление рисками, о совершенствовании системы оплаты труда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рассмотрены предложения о сохранении или пересмотре внутренних документов Банка, устанавливающих порядок определения фиксированной и нефиксированной частей оплаты труда отдельных категорий работников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рассмотрены предложения о премировании отдельных работников Банка.</w:t>
      </w:r>
    </w:p>
    <w:p w:rsidR="00773E2C" w:rsidRDefault="00805665">
      <w:pPr>
        <w:ind w:firstLine="567"/>
        <w:jc w:val="both"/>
        <w:rPr>
          <w:b/>
          <w:bCs/>
          <w:color w:val="000000"/>
          <w:sz w:val="22"/>
          <w:szCs w:val="22"/>
        </w:rPr>
      </w:pPr>
      <w:r>
        <w:rPr>
          <w:b/>
          <w:bCs/>
          <w:color w:val="000000"/>
          <w:sz w:val="22"/>
          <w:szCs w:val="22"/>
        </w:rPr>
        <w:t>В части одобрения сделок, в совершении которых имеется заинтересованность:</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 Отчет о сделках, заключенных Банком в 2024 году, признаваемых в соответствии с Федеральным законом «Об акционерных обществах» сделками, в совершении которых имелась заинтересованность.</w:t>
      </w:r>
    </w:p>
    <w:p w:rsidR="00773E2C" w:rsidRDefault="00805665">
      <w:pPr>
        <w:ind w:firstLine="567"/>
        <w:jc w:val="both"/>
        <w:rPr>
          <w:b/>
          <w:bCs/>
          <w:color w:val="000000"/>
          <w:sz w:val="22"/>
          <w:szCs w:val="22"/>
        </w:rPr>
      </w:pPr>
      <w:r>
        <w:rPr>
          <w:b/>
          <w:bCs/>
          <w:color w:val="000000"/>
          <w:sz w:val="22"/>
          <w:szCs w:val="22"/>
        </w:rPr>
        <w:t>В части корпоративного управления:</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утверждены условия новой редакции Договора об оказания услуг по ведению реестра владельцев ценных бумаг;</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lastRenderedPageBreak/>
        <w:t>утверждена новая редакция Положения о контроле за соответствием квалификационным требованиям и (или) требованиям к деловой репутации членов Наблюдательного совета, руководящих должностных лиц Банка (филиалов), руководителей специальных подразделений, кандидатов на указанные должности, а также собственников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утверждена новая редакция Кодекса корпоративного управления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утверждено Положение о Дивидендная политике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утверждена новая редакция Порядка предоставления Банком документов и информации акционерами и иным лицам, осуществляющим права по акциям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утверждены результаты самооценки качества корпоративного управления Банка в 2024 году;</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 Отчет о деятельности Комитета по аудиту, рискам и стратегии Наблюдательного совета Банка за 2024 год;</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 Отчет Комитета по кадрам, вознаграждениям и корпоративному управлению Наблюдательного совета Банка за 2024 год;</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 Отчет о работе Правления Банка за 2024 год;</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 Отчет об исполнении Плана мероприятий разработки и (или) внесения изменений во внутренние документы Банка по результатам самооценки качества корпоративного управления Банка за 2023 год;</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 Отчет об исполнении Плана мероприятий разработки и (или) внесения изменений во внутренние документы Банка по результатам самооценки качества корпоративного управления Банка за 2023 год;</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 Отчет об исполнении Плана мероприятий по совершенствованию работы Наблюдательного совета Банка и его комитетов по результатам самооценки деятельности Наблюдательного совета Банка за 2023 год;</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 Отчет о результатах самооценки деятельности Наблюдательного совета Банка за 2024 год;</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 План мероприятий по разработке и (или) внесению изменений во внутренние документы Банка с учетом результатов самооценки качества корпоративного управления Банка в 2024 году;</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рассмотрены и вынесены на утверждение годовому заседанию Общего собрания акционеров новые редакции Устава Банка и внутренних документов Банка, регулирующих деятельность его органов;</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приняты решения о созыве и проведении годового заседания Общего собрания акционеров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предварительно утвержден Годовой отчет Банка за 2024 год;</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даны рекомендации годовому заседанию Общего собрания акционеров по распределению прибыли и убытков Банка по результатам 2024 года, в том числе по выплате дивидендов, рекомендации о выплате вознаграждения и (или) компенсации расходов членам Наблюдательного совета Банка.</w:t>
      </w:r>
    </w:p>
    <w:p w:rsidR="00773E2C" w:rsidRDefault="00805665">
      <w:pPr>
        <w:ind w:firstLine="567"/>
        <w:jc w:val="both"/>
        <w:rPr>
          <w:color w:val="000000"/>
          <w:sz w:val="22"/>
          <w:szCs w:val="22"/>
          <w:highlight w:val="cyan"/>
          <w:u w:val="single"/>
        </w:rPr>
      </w:pPr>
      <w:r>
        <w:rPr>
          <w:b/>
          <w:bCs/>
          <w:color w:val="000000"/>
          <w:sz w:val="22"/>
          <w:szCs w:val="22"/>
        </w:rPr>
        <w:t>В части организации работы Наблюдательного совета: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утверждена новая редакция Положения о проведении оценки эффективности деятельности Наблюдательного совета Банка и его комитетов;</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 План работы Наблюдательного совета на 2026 год;</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 Старший независимый директор;</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 План мероприятий совершенствования работы Наблюдательного совета Банка и его комитетов по результатам проведения самооценки деятельности Наблюдательного совета Банка и его комитетов за 2024 год;</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 вопрос о проведении оценки эффективности деятельности Наблюдательного совета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регулярно рассматривались отчеты о статусе исполнения поручений Наблюдательного совета и его комитетов.</w:t>
      </w:r>
    </w:p>
    <w:p w:rsidR="00773E2C" w:rsidRDefault="00805665">
      <w:pPr>
        <w:ind w:firstLine="567"/>
        <w:jc w:val="both"/>
        <w:rPr>
          <w:color w:val="000000"/>
          <w:sz w:val="22"/>
          <w:szCs w:val="22"/>
        </w:rPr>
      </w:pPr>
      <w:r>
        <w:rPr>
          <w:color w:val="000000"/>
          <w:sz w:val="22"/>
          <w:szCs w:val="22"/>
        </w:rPr>
        <w:t xml:space="preserve">В соответствии с Положением о Наблюдательном совете Банка, кворум для принятия решений Наблюдательным советом составляет не менее половины от числа избранных членов Наблюдательного совета. При определении наличия кворума и результатов голосования по вопросам повестки дня заседания Наблюдательного совета, на котором голосование не совмещается с заочным голосованием, по решению Председателя Наблюдательного совета могут учитываться письменные мнения отсутствующих на заседании членов Наблюдательного совета при условии, что такое письменное мнение получено Председателем Наблюдательного совета до начала заседания и в нем </w:t>
      </w:r>
      <w:r>
        <w:rPr>
          <w:color w:val="000000"/>
          <w:sz w:val="22"/>
          <w:szCs w:val="22"/>
        </w:rPr>
        <w:lastRenderedPageBreak/>
        <w:t>однозначно определена позиция отсутствующего члена Наблюдательного совета по вопросам повестки дня заседания.</w:t>
      </w:r>
    </w:p>
    <w:p w:rsidR="00773E2C" w:rsidRDefault="00805665">
      <w:pPr>
        <w:ind w:firstLine="567"/>
        <w:jc w:val="both"/>
        <w:rPr>
          <w:color w:val="000000"/>
          <w:sz w:val="22"/>
          <w:szCs w:val="22"/>
        </w:rPr>
      </w:pPr>
      <w:r>
        <w:rPr>
          <w:color w:val="000000"/>
          <w:sz w:val="22"/>
          <w:szCs w:val="22"/>
        </w:rPr>
        <w:t>На каждом заседании или заочном голосовании Наблюдательного совета, проведенном в 2025 году, был обеспечен кворум для принятия решений по всем вопросам повестки дня. Информация об участии членов Наблюдательного совета в его заседаниях приведена в Таблице 4.4.1.</w:t>
      </w:r>
    </w:p>
    <w:p w:rsidR="00D317BE" w:rsidRDefault="00D317BE">
      <w:pPr>
        <w:ind w:firstLine="567"/>
        <w:jc w:val="both"/>
        <w:rPr>
          <w:color w:val="000000"/>
          <w:sz w:val="22"/>
          <w:szCs w:val="22"/>
        </w:rPr>
      </w:pPr>
    </w:p>
    <w:p w:rsidR="00773E2C" w:rsidRDefault="00805665">
      <w:pPr>
        <w:ind w:firstLine="567"/>
        <w:jc w:val="both"/>
        <w:rPr>
          <w:b/>
          <w:color w:val="000000"/>
          <w:sz w:val="22"/>
          <w:szCs w:val="22"/>
        </w:rPr>
      </w:pPr>
      <w:r>
        <w:rPr>
          <w:b/>
          <w:color w:val="000000"/>
          <w:sz w:val="22"/>
          <w:szCs w:val="22"/>
        </w:rPr>
        <w:t>Таблица 4.4.1 Участие членов Наблюдательного совета в заседаниях или заочных голосованиях Наблюдательного совета</w:t>
      </w:r>
    </w:p>
    <w:p w:rsidR="00B81388" w:rsidRDefault="00B81388">
      <w:pPr>
        <w:ind w:firstLine="567"/>
        <w:jc w:val="both"/>
        <w:rPr>
          <w:b/>
          <w:color w:val="000000"/>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253"/>
      </w:tblGrid>
      <w:tr w:rsidR="009F0BF9" w:rsidRPr="009B2D9C" w:rsidTr="004F50EF">
        <w:tc>
          <w:tcPr>
            <w:tcW w:w="5240" w:type="dxa"/>
            <w:shd w:val="clear" w:color="auto" w:fill="auto"/>
            <w:vAlign w:val="center"/>
          </w:tcPr>
          <w:p w:rsidR="009F0BF9" w:rsidRDefault="009F0BF9" w:rsidP="004F50EF">
            <w:pPr>
              <w:tabs>
                <w:tab w:val="left" w:pos="456"/>
              </w:tabs>
              <w:jc w:val="center"/>
              <w:rPr>
                <w:rFonts w:eastAsia="Calibri"/>
                <w:b/>
                <w:sz w:val="20"/>
                <w:szCs w:val="20"/>
              </w:rPr>
            </w:pPr>
            <w:r w:rsidRPr="009B2D9C">
              <w:rPr>
                <w:rFonts w:eastAsia="Calibri"/>
                <w:b/>
                <w:sz w:val="20"/>
                <w:szCs w:val="20"/>
              </w:rPr>
              <w:t xml:space="preserve">Члены Наблюдательного совета </w:t>
            </w:r>
          </w:p>
          <w:p w:rsidR="00B81388" w:rsidRPr="009B2D9C" w:rsidRDefault="00B81388" w:rsidP="00B81388">
            <w:pPr>
              <w:tabs>
                <w:tab w:val="left" w:pos="1260"/>
              </w:tabs>
              <w:jc w:val="both"/>
              <w:rPr>
                <w:rFonts w:eastAsia="Calibri"/>
                <w:b/>
                <w:sz w:val="20"/>
                <w:szCs w:val="20"/>
              </w:rPr>
            </w:pPr>
            <w:r w:rsidRPr="00B81388">
              <w:rPr>
                <w:rFonts w:eastAsia="Calibri"/>
                <w:b/>
                <w:i/>
                <w:color w:val="FF0000"/>
                <w:sz w:val="20"/>
                <w:szCs w:val="20"/>
                <w:lang w:eastAsia="en-US"/>
              </w:rPr>
              <w:t>Информация не раскрывается и не предоставляется в соответствии с абзацем 2 пункта 1 Постановления Правительства Российской Федерации от 04.07.2023 № 1102 «Об особенностях раскрытия и (или) предоставления информации, подлежащей раскрытию и (или) предоставлению в соответствии с требованиями Федерального закона «Об акционерных обществах» и Федерального закона «О рынке ценных бумаг».</w:t>
            </w:r>
          </w:p>
        </w:tc>
        <w:tc>
          <w:tcPr>
            <w:tcW w:w="4253" w:type="dxa"/>
            <w:shd w:val="clear" w:color="auto" w:fill="auto"/>
            <w:vAlign w:val="center"/>
          </w:tcPr>
          <w:p w:rsidR="009F0BF9" w:rsidRPr="009B2D9C" w:rsidRDefault="009F0BF9" w:rsidP="004F50EF">
            <w:pPr>
              <w:jc w:val="center"/>
              <w:rPr>
                <w:rFonts w:eastAsia="Calibri"/>
                <w:b/>
                <w:sz w:val="20"/>
                <w:szCs w:val="20"/>
                <w:lang w:eastAsia="en-US"/>
              </w:rPr>
            </w:pPr>
            <w:r w:rsidRPr="009B2D9C">
              <w:rPr>
                <w:b/>
                <w:sz w:val="20"/>
                <w:szCs w:val="20"/>
              </w:rPr>
              <w:t>Число заседаний или заочных голосований Наблюдательного совета, в которых принял участие член Наблюдательного совета из 18 проведенных</w:t>
            </w:r>
          </w:p>
        </w:tc>
      </w:tr>
      <w:tr w:rsidR="009F0BF9" w:rsidRPr="009B2D9C" w:rsidTr="004F50EF">
        <w:tc>
          <w:tcPr>
            <w:tcW w:w="5240" w:type="dxa"/>
            <w:shd w:val="clear" w:color="auto" w:fill="auto"/>
          </w:tcPr>
          <w:p w:rsidR="009F0BF9" w:rsidRPr="009F0BF9" w:rsidRDefault="009F0BF9" w:rsidP="004F50EF">
            <w:pPr>
              <w:tabs>
                <w:tab w:val="left" w:pos="456"/>
              </w:tabs>
              <w:rPr>
                <w:rFonts w:eastAsia="Calibri"/>
                <w:i/>
                <w:color w:val="FF0000"/>
                <w:sz w:val="20"/>
                <w:szCs w:val="20"/>
              </w:rPr>
            </w:pPr>
            <w:r w:rsidRPr="009F0BF9">
              <w:rPr>
                <w:rFonts w:eastAsia="Calibri"/>
                <w:i/>
                <w:color w:val="FF0000"/>
                <w:sz w:val="20"/>
                <w:szCs w:val="20"/>
              </w:rPr>
              <w:t xml:space="preserve">______ФИО___________________, </w:t>
            </w:r>
          </w:p>
          <w:p w:rsidR="009F0BF9" w:rsidRPr="009B2D9C" w:rsidRDefault="009F0BF9" w:rsidP="004F50EF">
            <w:pPr>
              <w:tabs>
                <w:tab w:val="left" w:pos="456"/>
              </w:tabs>
              <w:rPr>
                <w:rFonts w:eastAsia="Calibri"/>
                <w:sz w:val="20"/>
                <w:szCs w:val="20"/>
              </w:rPr>
            </w:pPr>
            <w:r w:rsidRPr="009B2D9C">
              <w:rPr>
                <w:rFonts w:eastAsia="Calibri"/>
                <w:b/>
                <w:sz w:val="20"/>
                <w:szCs w:val="20"/>
              </w:rPr>
              <w:t>старший независимый директор</w:t>
            </w:r>
          </w:p>
        </w:tc>
        <w:tc>
          <w:tcPr>
            <w:tcW w:w="4253" w:type="dxa"/>
            <w:shd w:val="clear" w:color="auto" w:fill="auto"/>
          </w:tcPr>
          <w:p w:rsidR="009F0BF9" w:rsidRPr="009B2D9C" w:rsidRDefault="009F0BF9" w:rsidP="004F50EF">
            <w:pPr>
              <w:jc w:val="center"/>
              <w:rPr>
                <w:rFonts w:eastAsia="Calibri"/>
                <w:sz w:val="20"/>
                <w:szCs w:val="20"/>
              </w:rPr>
            </w:pPr>
            <w:r w:rsidRPr="009B2D9C">
              <w:rPr>
                <w:rFonts w:eastAsia="Calibri"/>
                <w:sz w:val="20"/>
                <w:szCs w:val="20"/>
              </w:rPr>
              <w:t>17 (не участвовала в одном заседании, по всем вопросам повестки дня этого заседания направлено письменное мнение)</w:t>
            </w:r>
          </w:p>
        </w:tc>
      </w:tr>
      <w:tr w:rsidR="009F0BF9" w:rsidRPr="009B2D9C" w:rsidTr="004F50EF">
        <w:tc>
          <w:tcPr>
            <w:tcW w:w="5240" w:type="dxa"/>
            <w:shd w:val="clear" w:color="auto" w:fill="auto"/>
          </w:tcPr>
          <w:p w:rsidR="009F0BF9" w:rsidRPr="009F0BF9" w:rsidRDefault="009F0BF9" w:rsidP="009F0BF9">
            <w:pPr>
              <w:tabs>
                <w:tab w:val="left" w:pos="456"/>
              </w:tabs>
              <w:rPr>
                <w:rFonts w:eastAsia="Calibri"/>
                <w:i/>
                <w:color w:val="FF0000"/>
                <w:sz w:val="20"/>
                <w:szCs w:val="20"/>
              </w:rPr>
            </w:pPr>
            <w:r w:rsidRPr="009F0BF9">
              <w:rPr>
                <w:rFonts w:eastAsia="Calibri"/>
                <w:i/>
                <w:color w:val="FF0000"/>
                <w:sz w:val="20"/>
                <w:szCs w:val="20"/>
              </w:rPr>
              <w:t xml:space="preserve">______ФИО___________________, </w:t>
            </w:r>
          </w:p>
          <w:p w:rsidR="009F0BF9" w:rsidRPr="009B2D9C" w:rsidRDefault="009F0BF9" w:rsidP="004F50EF">
            <w:pPr>
              <w:tabs>
                <w:tab w:val="left" w:pos="456"/>
              </w:tabs>
              <w:rPr>
                <w:rFonts w:eastAsia="Calibri"/>
                <w:sz w:val="20"/>
                <w:szCs w:val="20"/>
              </w:rPr>
            </w:pPr>
            <w:r w:rsidRPr="009B2D9C">
              <w:rPr>
                <w:rFonts w:eastAsia="Calibri"/>
                <w:b/>
                <w:sz w:val="20"/>
                <w:szCs w:val="20"/>
              </w:rPr>
              <w:t>независимый директор</w:t>
            </w:r>
          </w:p>
        </w:tc>
        <w:tc>
          <w:tcPr>
            <w:tcW w:w="4253" w:type="dxa"/>
            <w:shd w:val="clear" w:color="auto" w:fill="auto"/>
          </w:tcPr>
          <w:p w:rsidR="009F0BF9" w:rsidRPr="009B2D9C" w:rsidRDefault="009F0BF9" w:rsidP="004F50EF">
            <w:pPr>
              <w:jc w:val="center"/>
              <w:rPr>
                <w:rFonts w:eastAsia="Calibri"/>
                <w:sz w:val="20"/>
                <w:szCs w:val="20"/>
              </w:rPr>
            </w:pPr>
            <w:r w:rsidRPr="009B2D9C">
              <w:rPr>
                <w:rFonts w:eastAsia="Calibri"/>
                <w:sz w:val="20"/>
                <w:szCs w:val="20"/>
              </w:rPr>
              <w:t>16 (не участвовал в двух заседании, по всем вопросам повестки дня этих заседаний направлены письменные мнения)</w:t>
            </w:r>
          </w:p>
        </w:tc>
      </w:tr>
      <w:tr w:rsidR="009F0BF9" w:rsidRPr="009B2D9C" w:rsidTr="004F50EF">
        <w:tc>
          <w:tcPr>
            <w:tcW w:w="5240" w:type="dxa"/>
            <w:shd w:val="clear" w:color="auto" w:fill="auto"/>
          </w:tcPr>
          <w:p w:rsidR="009F0BF9" w:rsidRPr="009F0BF9" w:rsidRDefault="009F0BF9" w:rsidP="009F0BF9">
            <w:pPr>
              <w:tabs>
                <w:tab w:val="left" w:pos="456"/>
              </w:tabs>
              <w:rPr>
                <w:rFonts w:eastAsia="Calibri"/>
                <w:i/>
                <w:color w:val="FF0000"/>
                <w:sz w:val="20"/>
                <w:szCs w:val="20"/>
              </w:rPr>
            </w:pPr>
            <w:r w:rsidRPr="009F0BF9">
              <w:rPr>
                <w:rFonts w:eastAsia="Calibri"/>
                <w:i/>
                <w:color w:val="FF0000"/>
                <w:sz w:val="20"/>
                <w:szCs w:val="20"/>
              </w:rPr>
              <w:t xml:space="preserve">______ФИО___________________, </w:t>
            </w:r>
          </w:p>
          <w:p w:rsidR="009F0BF9" w:rsidRPr="009B2D9C" w:rsidRDefault="009F0BF9" w:rsidP="004F50EF">
            <w:pPr>
              <w:tabs>
                <w:tab w:val="left" w:pos="456"/>
              </w:tabs>
              <w:rPr>
                <w:rFonts w:eastAsia="Calibri"/>
                <w:sz w:val="20"/>
                <w:szCs w:val="20"/>
              </w:rPr>
            </w:pPr>
            <w:r w:rsidRPr="009B2D9C">
              <w:rPr>
                <w:rFonts w:eastAsia="Calibri"/>
                <w:b/>
                <w:sz w:val="20"/>
                <w:szCs w:val="20"/>
              </w:rPr>
              <w:t>независимый директор</w:t>
            </w:r>
          </w:p>
        </w:tc>
        <w:tc>
          <w:tcPr>
            <w:tcW w:w="4253" w:type="dxa"/>
            <w:shd w:val="clear" w:color="auto" w:fill="auto"/>
          </w:tcPr>
          <w:p w:rsidR="009F0BF9" w:rsidRPr="009B2D9C" w:rsidRDefault="009F0BF9" w:rsidP="004F50EF">
            <w:pPr>
              <w:jc w:val="center"/>
              <w:rPr>
                <w:rFonts w:eastAsia="Calibri"/>
                <w:sz w:val="20"/>
                <w:szCs w:val="20"/>
              </w:rPr>
            </w:pPr>
            <w:r w:rsidRPr="009B2D9C">
              <w:rPr>
                <w:rFonts w:eastAsia="Calibri"/>
                <w:sz w:val="20"/>
                <w:szCs w:val="20"/>
              </w:rPr>
              <w:t>17 (не участвовал в одном заседании, по всем вопросам повестки дня этого заседания направлено письменное мнение)</w:t>
            </w:r>
          </w:p>
        </w:tc>
      </w:tr>
      <w:tr w:rsidR="009F0BF9" w:rsidRPr="009B2D9C" w:rsidTr="004F50EF">
        <w:tc>
          <w:tcPr>
            <w:tcW w:w="5240" w:type="dxa"/>
            <w:shd w:val="clear" w:color="auto" w:fill="auto"/>
          </w:tcPr>
          <w:p w:rsidR="009F0BF9" w:rsidRPr="009F0BF9" w:rsidRDefault="009F0BF9" w:rsidP="009F0BF9">
            <w:pPr>
              <w:tabs>
                <w:tab w:val="left" w:pos="456"/>
              </w:tabs>
              <w:rPr>
                <w:rFonts w:eastAsia="Calibri"/>
                <w:i/>
                <w:color w:val="FF0000"/>
                <w:sz w:val="20"/>
                <w:szCs w:val="20"/>
              </w:rPr>
            </w:pPr>
            <w:r w:rsidRPr="009F0BF9">
              <w:rPr>
                <w:rFonts w:eastAsia="Calibri"/>
                <w:i/>
                <w:color w:val="FF0000"/>
                <w:sz w:val="20"/>
                <w:szCs w:val="20"/>
              </w:rPr>
              <w:t xml:space="preserve">______ФИО___________________, </w:t>
            </w:r>
          </w:p>
          <w:p w:rsidR="009F0BF9" w:rsidRPr="009B2D9C" w:rsidRDefault="009F0BF9" w:rsidP="004F50EF">
            <w:pPr>
              <w:tabs>
                <w:tab w:val="left" w:pos="456"/>
              </w:tabs>
              <w:rPr>
                <w:rFonts w:eastAsia="Calibri"/>
                <w:sz w:val="20"/>
                <w:szCs w:val="20"/>
              </w:rPr>
            </w:pPr>
            <w:r w:rsidRPr="009B2D9C">
              <w:rPr>
                <w:rFonts w:eastAsia="Calibri"/>
                <w:b/>
                <w:sz w:val="20"/>
                <w:szCs w:val="20"/>
              </w:rPr>
              <w:t>независимый директор</w:t>
            </w:r>
          </w:p>
        </w:tc>
        <w:tc>
          <w:tcPr>
            <w:tcW w:w="4253" w:type="dxa"/>
            <w:shd w:val="clear" w:color="auto" w:fill="auto"/>
          </w:tcPr>
          <w:p w:rsidR="009F0BF9" w:rsidRPr="009B2D9C" w:rsidRDefault="009F0BF9" w:rsidP="004F50EF">
            <w:pPr>
              <w:jc w:val="center"/>
              <w:rPr>
                <w:rFonts w:eastAsia="Calibri"/>
                <w:sz w:val="20"/>
                <w:szCs w:val="20"/>
              </w:rPr>
            </w:pPr>
            <w:r w:rsidRPr="009B2D9C">
              <w:rPr>
                <w:rFonts w:eastAsia="Calibri"/>
                <w:sz w:val="20"/>
                <w:szCs w:val="20"/>
              </w:rPr>
              <w:t>18</w:t>
            </w:r>
          </w:p>
        </w:tc>
      </w:tr>
      <w:tr w:rsidR="009F0BF9" w:rsidRPr="009B2D9C" w:rsidTr="004F50EF">
        <w:tc>
          <w:tcPr>
            <w:tcW w:w="5240" w:type="dxa"/>
            <w:shd w:val="clear" w:color="auto" w:fill="auto"/>
          </w:tcPr>
          <w:p w:rsidR="009F0BF9" w:rsidRPr="009F0BF9" w:rsidRDefault="009F0BF9" w:rsidP="009F0BF9">
            <w:pPr>
              <w:tabs>
                <w:tab w:val="left" w:pos="456"/>
              </w:tabs>
              <w:rPr>
                <w:rFonts w:eastAsia="Calibri"/>
                <w:i/>
                <w:color w:val="FF0000"/>
                <w:sz w:val="20"/>
                <w:szCs w:val="20"/>
              </w:rPr>
            </w:pPr>
            <w:r w:rsidRPr="009F0BF9">
              <w:rPr>
                <w:rFonts w:eastAsia="Calibri"/>
                <w:i/>
                <w:color w:val="FF0000"/>
                <w:sz w:val="20"/>
                <w:szCs w:val="20"/>
              </w:rPr>
              <w:t>______ФИО___________________</w:t>
            </w:r>
          </w:p>
          <w:p w:rsidR="009F0BF9" w:rsidRPr="009B2D9C" w:rsidRDefault="009F0BF9" w:rsidP="004F50EF">
            <w:pPr>
              <w:rPr>
                <w:rFonts w:eastAsia="Calibri"/>
                <w:sz w:val="20"/>
                <w:szCs w:val="20"/>
              </w:rPr>
            </w:pPr>
          </w:p>
        </w:tc>
        <w:tc>
          <w:tcPr>
            <w:tcW w:w="4253" w:type="dxa"/>
            <w:shd w:val="clear" w:color="auto" w:fill="auto"/>
          </w:tcPr>
          <w:p w:rsidR="009F0BF9" w:rsidRPr="009B2D9C" w:rsidRDefault="009F0BF9" w:rsidP="004F50EF">
            <w:pPr>
              <w:jc w:val="center"/>
              <w:rPr>
                <w:rFonts w:eastAsia="Calibri"/>
                <w:sz w:val="20"/>
                <w:szCs w:val="20"/>
              </w:rPr>
            </w:pPr>
            <w:r w:rsidRPr="009B2D9C">
              <w:rPr>
                <w:rFonts w:eastAsia="Calibri"/>
                <w:sz w:val="20"/>
                <w:szCs w:val="20"/>
              </w:rPr>
              <w:t>17 (не участвовал в одном заседании, по всем вопросам повестки дня этого заседания направлено письменное мнение)</w:t>
            </w:r>
          </w:p>
        </w:tc>
      </w:tr>
      <w:tr w:rsidR="009F0BF9" w:rsidRPr="009B2D9C" w:rsidTr="004F50EF">
        <w:tc>
          <w:tcPr>
            <w:tcW w:w="5240" w:type="dxa"/>
            <w:shd w:val="clear" w:color="auto" w:fill="auto"/>
          </w:tcPr>
          <w:p w:rsidR="009F0BF9" w:rsidRPr="009F0BF9" w:rsidRDefault="009F0BF9" w:rsidP="009F0BF9">
            <w:pPr>
              <w:tabs>
                <w:tab w:val="left" w:pos="456"/>
              </w:tabs>
              <w:rPr>
                <w:rFonts w:eastAsia="Calibri"/>
                <w:i/>
                <w:color w:val="FF0000"/>
                <w:sz w:val="20"/>
                <w:szCs w:val="20"/>
              </w:rPr>
            </w:pPr>
            <w:r w:rsidRPr="009F0BF9">
              <w:rPr>
                <w:rFonts w:eastAsia="Calibri"/>
                <w:i/>
                <w:color w:val="FF0000"/>
                <w:sz w:val="20"/>
                <w:szCs w:val="20"/>
              </w:rPr>
              <w:t xml:space="preserve">______ФИО___________________ </w:t>
            </w:r>
          </w:p>
        </w:tc>
        <w:tc>
          <w:tcPr>
            <w:tcW w:w="4253" w:type="dxa"/>
            <w:shd w:val="clear" w:color="auto" w:fill="auto"/>
          </w:tcPr>
          <w:p w:rsidR="009F0BF9" w:rsidRPr="009B2D9C" w:rsidRDefault="009F0BF9" w:rsidP="004F50EF">
            <w:pPr>
              <w:jc w:val="center"/>
              <w:rPr>
                <w:rFonts w:eastAsia="Calibri"/>
                <w:sz w:val="20"/>
                <w:szCs w:val="20"/>
              </w:rPr>
            </w:pPr>
            <w:r w:rsidRPr="009B2D9C">
              <w:rPr>
                <w:rFonts w:eastAsia="Calibri"/>
                <w:sz w:val="20"/>
                <w:szCs w:val="20"/>
              </w:rPr>
              <w:t>18</w:t>
            </w:r>
          </w:p>
        </w:tc>
      </w:tr>
      <w:tr w:rsidR="009F0BF9" w:rsidRPr="009B2D9C" w:rsidTr="004F50EF">
        <w:tc>
          <w:tcPr>
            <w:tcW w:w="5240" w:type="dxa"/>
            <w:shd w:val="clear" w:color="auto" w:fill="auto"/>
          </w:tcPr>
          <w:p w:rsidR="009F0BF9" w:rsidRPr="009F0BF9" w:rsidRDefault="009F0BF9" w:rsidP="009F0BF9">
            <w:pPr>
              <w:tabs>
                <w:tab w:val="left" w:pos="456"/>
              </w:tabs>
              <w:rPr>
                <w:rFonts w:eastAsia="Calibri"/>
                <w:i/>
                <w:color w:val="FF0000"/>
                <w:sz w:val="20"/>
                <w:szCs w:val="20"/>
              </w:rPr>
            </w:pPr>
            <w:r w:rsidRPr="009F0BF9">
              <w:rPr>
                <w:rFonts w:eastAsia="Calibri"/>
                <w:i/>
                <w:color w:val="FF0000"/>
                <w:sz w:val="20"/>
                <w:szCs w:val="20"/>
              </w:rPr>
              <w:t xml:space="preserve">______ФИО___________________, </w:t>
            </w:r>
          </w:p>
          <w:p w:rsidR="009F0BF9" w:rsidRPr="009B2D9C" w:rsidRDefault="009F0BF9" w:rsidP="004F50EF">
            <w:pPr>
              <w:tabs>
                <w:tab w:val="left" w:pos="456"/>
              </w:tabs>
              <w:rPr>
                <w:rFonts w:eastAsia="Calibri"/>
                <w:sz w:val="20"/>
                <w:szCs w:val="20"/>
              </w:rPr>
            </w:pPr>
            <w:r w:rsidRPr="009B2D9C">
              <w:rPr>
                <w:rFonts w:eastAsia="Calibri"/>
                <w:b/>
                <w:sz w:val="20"/>
                <w:szCs w:val="20"/>
              </w:rPr>
              <w:t>независимый директор</w:t>
            </w:r>
          </w:p>
        </w:tc>
        <w:tc>
          <w:tcPr>
            <w:tcW w:w="4253" w:type="dxa"/>
            <w:shd w:val="clear" w:color="auto" w:fill="auto"/>
          </w:tcPr>
          <w:p w:rsidR="009F0BF9" w:rsidRPr="009B2D9C" w:rsidRDefault="009F0BF9" w:rsidP="004F50EF">
            <w:pPr>
              <w:jc w:val="center"/>
              <w:rPr>
                <w:rFonts w:eastAsia="Calibri"/>
                <w:sz w:val="20"/>
                <w:szCs w:val="20"/>
              </w:rPr>
            </w:pPr>
            <w:r w:rsidRPr="009B2D9C">
              <w:rPr>
                <w:rFonts w:eastAsia="Calibri"/>
                <w:sz w:val="20"/>
                <w:szCs w:val="20"/>
              </w:rPr>
              <w:t>18</w:t>
            </w:r>
          </w:p>
        </w:tc>
      </w:tr>
      <w:tr w:rsidR="009F0BF9" w:rsidRPr="009B2D9C" w:rsidTr="004F50EF">
        <w:tc>
          <w:tcPr>
            <w:tcW w:w="5240" w:type="dxa"/>
            <w:shd w:val="clear" w:color="auto" w:fill="auto"/>
          </w:tcPr>
          <w:p w:rsidR="009F0BF9" w:rsidRPr="009F0BF9" w:rsidRDefault="009F0BF9" w:rsidP="009F0BF9">
            <w:pPr>
              <w:tabs>
                <w:tab w:val="left" w:pos="456"/>
              </w:tabs>
              <w:rPr>
                <w:rFonts w:eastAsia="Calibri"/>
                <w:i/>
                <w:color w:val="FF0000"/>
                <w:sz w:val="20"/>
                <w:szCs w:val="20"/>
              </w:rPr>
            </w:pPr>
            <w:r w:rsidRPr="009F0BF9">
              <w:rPr>
                <w:rFonts w:eastAsia="Calibri"/>
                <w:i/>
                <w:color w:val="FF0000"/>
                <w:sz w:val="20"/>
                <w:szCs w:val="20"/>
              </w:rPr>
              <w:t xml:space="preserve">______ФИО___________________, </w:t>
            </w:r>
          </w:p>
          <w:p w:rsidR="009F0BF9" w:rsidRPr="009B2D9C" w:rsidRDefault="009F0BF9" w:rsidP="004F50EF">
            <w:pPr>
              <w:tabs>
                <w:tab w:val="left" w:pos="456"/>
              </w:tabs>
              <w:rPr>
                <w:rFonts w:eastAsia="Calibri"/>
                <w:sz w:val="20"/>
                <w:szCs w:val="20"/>
              </w:rPr>
            </w:pPr>
            <w:r w:rsidRPr="009B2D9C">
              <w:rPr>
                <w:rFonts w:eastAsia="Calibri"/>
                <w:b/>
                <w:sz w:val="20"/>
                <w:szCs w:val="20"/>
              </w:rPr>
              <w:t>независимый директор</w:t>
            </w:r>
          </w:p>
        </w:tc>
        <w:tc>
          <w:tcPr>
            <w:tcW w:w="4253" w:type="dxa"/>
            <w:shd w:val="clear" w:color="auto" w:fill="auto"/>
          </w:tcPr>
          <w:p w:rsidR="009F0BF9" w:rsidRPr="009B2D9C" w:rsidRDefault="009F0BF9" w:rsidP="004F50EF">
            <w:pPr>
              <w:jc w:val="center"/>
              <w:rPr>
                <w:rFonts w:eastAsia="Calibri"/>
                <w:sz w:val="20"/>
                <w:szCs w:val="20"/>
              </w:rPr>
            </w:pPr>
            <w:r w:rsidRPr="009B2D9C">
              <w:rPr>
                <w:rFonts w:eastAsia="Calibri"/>
                <w:sz w:val="20"/>
                <w:szCs w:val="20"/>
              </w:rPr>
              <w:t>18</w:t>
            </w:r>
          </w:p>
        </w:tc>
      </w:tr>
      <w:tr w:rsidR="009F0BF9" w:rsidRPr="009B2D9C" w:rsidTr="004F50EF">
        <w:tc>
          <w:tcPr>
            <w:tcW w:w="5240" w:type="dxa"/>
            <w:shd w:val="clear" w:color="auto" w:fill="auto"/>
          </w:tcPr>
          <w:p w:rsidR="009F0BF9" w:rsidRPr="009F0BF9" w:rsidRDefault="009F0BF9" w:rsidP="009F0BF9">
            <w:pPr>
              <w:tabs>
                <w:tab w:val="left" w:pos="456"/>
              </w:tabs>
              <w:rPr>
                <w:rFonts w:eastAsia="Calibri"/>
                <w:i/>
                <w:color w:val="FF0000"/>
                <w:sz w:val="20"/>
                <w:szCs w:val="20"/>
              </w:rPr>
            </w:pPr>
            <w:bookmarkStart w:id="17" w:name="_Hlk231378714"/>
            <w:r w:rsidRPr="009F0BF9">
              <w:rPr>
                <w:rFonts w:eastAsia="Calibri"/>
                <w:i/>
                <w:color w:val="FF0000"/>
                <w:sz w:val="20"/>
                <w:szCs w:val="20"/>
              </w:rPr>
              <w:t xml:space="preserve">______ФИО___________________ </w:t>
            </w:r>
            <w:bookmarkEnd w:id="17"/>
          </w:p>
        </w:tc>
        <w:tc>
          <w:tcPr>
            <w:tcW w:w="4253" w:type="dxa"/>
            <w:shd w:val="clear" w:color="auto" w:fill="auto"/>
          </w:tcPr>
          <w:p w:rsidR="009F0BF9" w:rsidRPr="009B2D9C" w:rsidRDefault="009F0BF9" w:rsidP="004F50EF">
            <w:pPr>
              <w:jc w:val="center"/>
              <w:rPr>
                <w:rFonts w:eastAsia="Calibri"/>
                <w:sz w:val="20"/>
                <w:szCs w:val="20"/>
              </w:rPr>
            </w:pPr>
            <w:r w:rsidRPr="009B2D9C">
              <w:rPr>
                <w:rFonts w:eastAsia="Calibri"/>
                <w:sz w:val="20"/>
                <w:szCs w:val="20"/>
              </w:rPr>
              <w:t>17 (не участвовал в одном заседании)</w:t>
            </w:r>
          </w:p>
        </w:tc>
      </w:tr>
      <w:tr w:rsidR="009F0BF9" w:rsidRPr="009B2D9C" w:rsidTr="004F50EF">
        <w:tc>
          <w:tcPr>
            <w:tcW w:w="5240" w:type="dxa"/>
            <w:shd w:val="clear" w:color="auto" w:fill="auto"/>
          </w:tcPr>
          <w:p w:rsidR="009F0BF9" w:rsidRPr="009F0BF9" w:rsidRDefault="009F0BF9" w:rsidP="009F0BF9">
            <w:pPr>
              <w:tabs>
                <w:tab w:val="left" w:pos="456"/>
              </w:tabs>
              <w:rPr>
                <w:rFonts w:eastAsia="Calibri"/>
                <w:i/>
                <w:color w:val="FF0000"/>
                <w:sz w:val="20"/>
                <w:szCs w:val="20"/>
              </w:rPr>
            </w:pPr>
            <w:r w:rsidRPr="009F0BF9">
              <w:rPr>
                <w:rFonts w:eastAsia="Calibri"/>
                <w:i/>
                <w:color w:val="FF0000"/>
                <w:sz w:val="20"/>
                <w:szCs w:val="20"/>
              </w:rPr>
              <w:t>______ФИО___________________</w:t>
            </w:r>
          </w:p>
        </w:tc>
        <w:tc>
          <w:tcPr>
            <w:tcW w:w="4253" w:type="dxa"/>
            <w:shd w:val="clear" w:color="auto" w:fill="auto"/>
          </w:tcPr>
          <w:p w:rsidR="009F0BF9" w:rsidRPr="009B2D9C" w:rsidRDefault="009F0BF9" w:rsidP="004F50EF">
            <w:pPr>
              <w:jc w:val="center"/>
              <w:rPr>
                <w:rFonts w:eastAsia="Calibri"/>
                <w:sz w:val="20"/>
                <w:szCs w:val="20"/>
              </w:rPr>
            </w:pPr>
            <w:r w:rsidRPr="009B2D9C">
              <w:rPr>
                <w:rFonts w:eastAsia="Calibri"/>
                <w:sz w:val="20"/>
                <w:szCs w:val="20"/>
              </w:rPr>
              <w:t>18</w:t>
            </w:r>
          </w:p>
        </w:tc>
      </w:tr>
    </w:tbl>
    <w:p w:rsidR="00B81388" w:rsidRDefault="00B81388">
      <w:pPr>
        <w:ind w:firstLine="567"/>
        <w:jc w:val="both"/>
        <w:rPr>
          <w:color w:val="000000" w:themeColor="text1"/>
          <w:sz w:val="22"/>
          <w:szCs w:val="22"/>
        </w:rPr>
      </w:pPr>
    </w:p>
    <w:p w:rsidR="00773E2C" w:rsidRDefault="00805665">
      <w:pPr>
        <w:ind w:firstLine="567"/>
        <w:jc w:val="both"/>
        <w:rPr>
          <w:color w:val="000000"/>
          <w:sz w:val="22"/>
          <w:szCs w:val="22"/>
          <w:highlight w:val="yellow"/>
        </w:rPr>
      </w:pPr>
      <w:r>
        <w:rPr>
          <w:color w:val="000000" w:themeColor="text1"/>
          <w:sz w:val="22"/>
          <w:szCs w:val="22"/>
        </w:rPr>
        <w:t>В целях повышения эффективности деятельности Наблюдательного совета и оптимизации процедуры принятия им решений в декабре 2024 года в Банке была введена в эксплуатацию система электронного голосования «</w:t>
      </w:r>
      <w:proofErr w:type="spellStart"/>
      <w:r>
        <w:rPr>
          <w:color w:val="000000" w:themeColor="text1"/>
          <w:sz w:val="22"/>
          <w:szCs w:val="22"/>
        </w:rPr>
        <w:t>Р.О.С.Т.Директор</w:t>
      </w:r>
      <w:proofErr w:type="spellEnd"/>
      <w:r>
        <w:rPr>
          <w:color w:val="000000" w:themeColor="text1"/>
          <w:sz w:val="22"/>
          <w:szCs w:val="22"/>
        </w:rPr>
        <w:t xml:space="preserve"> 2» для проведения заседаний Наблюдательного совета и его комитетов.</w:t>
      </w:r>
    </w:p>
    <w:p w:rsidR="00773E2C" w:rsidRDefault="00805665">
      <w:pPr>
        <w:ind w:firstLine="567"/>
        <w:jc w:val="both"/>
        <w:rPr>
          <w:color w:val="000000"/>
          <w:sz w:val="22"/>
          <w:szCs w:val="22"/>
        </w:rPr>
      </w:pPr>
      <w:r>
        <w:rPr>
          <w:color w:val="000000"/>
          <w:sz w:val="22"/>
          <w:szCs w:val="22"/>
        </w:rPr>
        <w:t>Для предварительного рассмотрения вопросов, относящихся к компетенции Наблюдательного совета Банка, Наблюдательным советом Банка сформированы комитеты. Вопросы, прошедшие предварительное рассмотрение в комитетах, выносились на заседания Наблюдательного совета</w:t>
      </w:r>
      <w:r w:rsidR="00CF464A">
        <w:rPr>
          <w:color w:val="000000"/>
          <w:sz w:val="22"/>
          <w:szCs w:val="22"/>
        </w:rPr>
        <w:t>.</w:t>
      </w:r>
    </w:p>
    <w:p w:rsidR="001701BD" w:rsidRDefault="001701BD">
      <w:pPr>
        <w:ind w:firstLine="567"/>
        <w:jc w:val="both"/>
        <w:rPr>
          <w:b/>
          <w:iCs/>
          <w:color w:val="000000"/>
          <w:sz w:val="22"/>
          <w:szCs w:val="22"/>
        </w:rPr>
      </w:pPr>
    </w:p>
    <w:p w:rsidR="00773E2C" w:rsidRDefault="00805665">
      <w:pPr>
        <w:ind w:firstLine="567"/>
        <w:jc w:val="both"/>
        <w:rPr>
          <w:b/>
          <w:iCs/>
          <w:color w:val="000000"/>
          <w:sz w:val="22"/>
          <w:szCs w:val="22"/>
        </w:rPr>
      </w:pPr>
      <w:r>
        <w:rPr>
          <w:b/>
          <w:iCs/>
          <w:color w:val="000000"/>
          <w:sz w:val="22"/>
          <w:szCs w:val="22"/>
        </w:rPr>
        <w:t>Деятельность Комитета по аудиту, рискам и стратегии Наблюдательного совета</w:t>
      </w:r>
    </w:p>
    <w:p w:rsidR="00773E2C" w:rsidRDefault="00773E2C">
      <w:pPr>
        <w:ind w:firstLine="567"/>
        <w:jc w:val="both"/>
        <w:rPr>
          <w:iCs/>
          <w:color w:val="000000"/>
          <w:sz w:val="22"/>
          <w:szCs w:val="22"/>
        </w:rPr>
      </w:pPr>
    </w:p>
    <w:p w:rsidR="00773E2C" w:rsidRDefault="00805665">
      <w:pPr>
        <w:ind w:firstLine="567"/>
        <w:jc w:val="both"/>
        <w:rPr>
          <w:color w:val="000000"/>
          <w:sz w:val="22"/>
          <w:szCs w:val="22"/>
        </w:rPr>
      </w:pPr>
      <w:r>
        <w:rPr>
          <w:color w:val="000000"/>
          <w:sz w:val="22"/>
          <w:szCs w:val="22"/>
        </w:rPr>
        <w:t xml:space="preserve">Комитет по аудиту, рискам и стратегии (далее - КАРС) создан Наблюдательным советом для </w:t>
      </w:r>
      <w:r>
        <w:rPr>
          <w:rFonts w:eastAsia="Calibri"/>
          <w:sz w:val="22"/>
          <w:szCs w:val="22"/>
        </w:rPr>
        <w:t xml:space="preserve">предварительного рассмотрения вопросов, связанных со стратегическим планированием Банка и участников Банковской группы, с </w:t>
      </w:r>
      <w:r>
        <w:rPr>
          <w:sz w:val="22"/>
          <w:szCs w:val="22"/>
        </w:rPr>
        <w:t>контролем за финансово-хозяйственной деятельностью Банка, в том числе оценкой независимости аудиторской организации Банка и отсутствия у нее конфликта интересов, с</w:t>
      </w:r>
      <w:r>
        <w:t xml:space="preserve"> </w:t>
      </w:r>
      <w:r>
        <w:rPr>
          <w:sz w:val="22"/>
          <w:szCs w:val="22"/>
        </w:rPr>
        <w:t>оценкой качества проведения аудита бухгалтерской (финансовой) отчетности Банка,</w:t>
      </w:r>
      <w:r>
        <w:rPr>
          <w:rFonts w:eastAsia="Calibri"/>
          <w:sz w:val="22"/>
          <w:szCs w:val="22"/>
        </w:rPr>
        <w:t xml:space="preserve"> </w:t>
      </w:r>
      <w:r>
        <w:rPr>
          <w:color w:val="000000"/>
          <w:sz w:val="22"/>
          <w:szCs w:val="22"/>
        </w:rPr>
        <w:t>анализом и поддержанием эффективной и адекватной системы внутреннего контроля в Банке</w:t>
      </w:r>
      <w:r>
        <w:rPr>
          <w:rFonts w:eastAsia="Calibri"/>
          <w:sz w:val="22"/>
          <w:szCs w:val="22"/>
        </w:rPr>
        <w:t xml:space="preserve"> и Банковской группе</w:t>
      </w:r>
      <w:r>
        <w:rPr>
          <w:color w:val="000000"/>
          <w:sz w:val="22"/>
          <w:szCs w:val="22"/>
        </w:rPr>
        <w:t>.</w:t>
      </w:r>
    </w:p>
    <w:p w:rsidR="00773E2C" w:rsidRDefault="00805665">
      <w:pPr>
        <w:ind w:firstLine="567"/>
        <w:jc w:val="both"/>
        <w:rPr>
          <w:color w:val="000000"/>
          <w:sz w:val="22"/>
          <w:szCs w:val="22"/>
        </w:rPr>
      </w:pPr>
      <w:r>
        <w:rPr>
          <w:color w:val="000000"/>
          <w:sz w:val="22"/>
          <w:szCs w:val="22"/>
        </w:rPr>
        <w:lastRenderedPageBreak/>
        <w:t xml:space="preserve">В течение всего отчетного периода с 01.01.2025 по 31.12.2025 года количественный и персональный состав Комитета по аудиту, рискам и стратегии не менялся, он состоял из 4 членов, </w:t>
      </w:r>
      <w:r w:rsidR="00C120C9" w:rsidRPr="00C120C9">
        <w:rPr>
          <w:color w:val="000000"/>
          <w:sz w:val="22"/>
          <w:szCs w:val="22"/>
        </w:rPr>
        <w:t>3</w:t>
      </w:r>
      <w:r w:rsidR="00C120C9">
        <w:rPr>
          <w:color w:val="000000"/>
          <w:sz w:val="22"/>
          <w:szCs w:val="22"/>
          <w:lang w:val="en-US"/>
        </w:rPr>
        <w:t> </w:t>
      </w:r>
      <w:r>
        <w:rPr>
          <w:color w:val="000000"/>
          <w:sz w:val="22"/>
          <w:szCs w:val="22"/>
        </w:rPr>
        <w:t>из которых являлись независимыми директорами.</w:t>
      </w:r>
    </w:p>
    <w:p w:rsidR="00773E2C" w:rsidRDefault="00805665">
      <w:pPr>
        <w:ind w:firstLine="567"/>
        <w:jc w:val="both"/>
        <w:rPr>
          <w:color w:val="000000"/>
          <w:sz w:val="22"/>
          <w:szCs w:val="22"/>
        </w:rPr>
      </w:pPr>
      <w:r>
        <w:rPr>
          <w:color w:val="000000"/>
          <w:sz w:val="22"/>
          <w:szCs w:val="22"/>
        </w:rPr>
        <w:t>В 2025 году действовала редакция Положения о Комитете по аудиту, рискам и стратегии Наблюдательного совета Публичного акционерного общества «БАНК УРАЛСИБ», утвержденная Наблюдательным советом 27 октября 2023 года.</w:t>
      </w:r>
    </w:p>
    <w:p w:rsidR="00773E2C" w:rsidRDefault="00805665">
      <w:pPr>
        <w:ind w:firstLine="567"/>
        <w:jc w:val="both"/>
        <w:rPr>
          <w:color w:val="000000"/>
          <w:sz w:val="22"/>
          <w:szCs w:val="22"/>
        </w:rPr>
      </w:pPr>
      <w:r>
        <w:rPr>
          <w:color w:val="000000"/>
          <w:sz w:val="22"/>
          <w:szCs w:val="22"/>
        </w:rPr>
        <w:t>В соответствии с Положением о Комитете по аудиту, рискам и стратегии Наблюдательного совета Банка заседания КАРС проводятся по мере необходимости, могут проводиться в форме совместного присутствия членов КАРС или в форме заочного голосования.</w:t>
      </w:r>
    </w:p>
    <w:p w:rsidR="00773E2C" w:rsidRDefault="00805665">
      <w:pPr>
        <w:ind w:firstLine="567"/>
        <w:jc w:val="both"/>
        <w:rPr>
          <w:color w:val="000000" w:themeColor="text1"/>
          <w:sz w:val="22"/>
          <w:szCs w:val="22"/>
        </w:rPr>
      </w:pPr>
      <w:r>
        <w:rPr>
          <w:color w:val="000000"/>
          <w:sz w:val="22"/>
          <w:szCs w:val="22"/>
        </w:rPr>
        <w:t>В 2025 году было проведено 24 заседания или заочных голосования КАРС, 2 из которых были проведены в форме заседаний, а остальные 22 в форме заочных голосований.</w:t>
      </w:r>
    </w:p>
    <w:p w:rsidR="00773E2C" w:rsidRDefault="00805665">
      <w:pPr>
        <w:ind w:firstLine="567"/>
        <w:jc w:val="both"/>
        <w:rPr>
          <w:color w:val="000000" w:themeColor="text1"/>
          <w:sz w:val="22"/>
          <w:szCs w:val="22"/>
        </w:rPr>
      </w:pPr>
      <w:bookmarkStart w:id="18" w:name="_Hlk226646316"/>
      <w:r>
        <w:rPr>
          <w:color w:val="000000" w:themeColor="text1"/>
          <w:sz w:val="22"/>
          <w:szCs w:val="22"/>
        </w:rPr>
        <w:t xml:space="preserve">На заседаниях </w:t>
      </w:r>
      <w:r>
        <w:rPr>
          <w:color w:val="000000"/>
          <w:sz w:val="22"/>
          <w:szCs w:val="22"/>
        </w:rPr>
        <w:t xml:space="preserve">Комитета по аудиту, рискам и стратегии </w:t>
      </w:r>
      <w:r>
        <w:rPr>
          <w:color w:val="000000" w:themeColor="text1"/>
          <w:sz w:val="22"/>
          <w:szCs w:val="22"/>
        </w:rPr>
        <w:t>Наблюдательного совета в 2025 году были рассмотрены следующие вопросы.</w:t>
      </w:r>
    </w:p>
    <w:bookmarkEnd w:id="18"/>
    <w:p w:rsidR="00773E2C" w:rsidRDefault="00805665">
      <w:pPr>
        <w:ind w:firstLine="567"/>
        <w:jc w:val="both"/>
        <w:rPr>
          <w:b/>
          <w:iCs/>
          <w:color w:val="000000"/>
          <w:sz w:val="22"/>
          <w:szCs w:val="22"/>
        </w:rPr>
      </w:pPr>
      <w:r>
        <w:rPr>
          <w:b/>
          <w:iCs/>
          <w:color w:val="000000"/>
          <w:sz w:val="22"/>
          <w:szCs w:val="22"/>
        </w:rPr>
        <w:t>В части определения приоритетных направлений деятельности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 Отчет по итогам реализации в 2024 году Стратегии развития Банка на 2024-2026 годы;</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 Бизнес-план Банка на 2026 год.</w:t>
      </w:r>
    </w:p>
    <w:p w:rsidR="00773E2C" w:rsidRDefault="00805665">
      <w:pPr>
        <w:ind w:firstLine="567"/>
        <w:jc w:val="both"/>
        <w:rPr>
          <w:b/>
          <w:iCs/>
          <w:color w:val="000000"/>
          <w:sz w:val="22"/>
          <w:szCs w:val="22"/>
        </w:rPr>
      </w:pPr>
      <w:r>
        <w:rPr>
          <w:b/>
          <w:iCs/>
          <w:color w:val="000000"/>
          <w:sz w:val="22"/>
          <w:szCs w:val="22"/>
        </w:rPr>
        <w:t>В части оценки кандидатов в аудиторы Банка и оценки качества проведения аудита бухгалтерской (финансовой) отчетности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проведена оценки независимости аудиторской организации Банка в связи с оказанием неаудиторских услуг;</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рассмотрены предложения по выбору аудитора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рассмотрены предложения о стоимости аудиторских услуг для Банка в 2025 году;</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 отчет аудитора Банка о результатах проведения аудита годовой бухгалтерской (финансовой) отчетности Банка, подготовленной в соответствии с РПБУ, за год, закончившийся 31 декабря 2024 года.</w:t>
      </w:r>
    </w:p>
    <w:p w:rsidR="00773E2C" w:rsidRDefault="00805665">
      <w:pPr>
        <w:ind w:firstLine="567"/>
        <w:jc w:val="both"/>
        <w:rPr>
          <w:b/>
          <w:iCs/>
          <w:color w:val="000000"/>
          <w:sz w:val="22"/>
          <w:szCs w:val="22"/>
        </w:rPr>
      </w:pPr>
      <w:bookmarkStart w:id="19" w:name="_Hlk226646324"/>
      <w:r>
        <w:rPr>
          <w:b/>
          <w:iCs/>
          <w:color w:val="000000"/>
          <w:sz w:val="22"/>
          <w:szCs w:val="22"/>
        </w:rPr>
        <w:t>В части рассмотрения финансовых результатов деятельности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рассмотрена годовая бухгалтерская (финансовая) отчетность Банка за 2024 год;</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рассмотрена консолидированная финансовая отчетность Банка, подготовленная в соответствии с МСФО, за год, закончившийся 31 декабря 2024 года;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рассмотрена промежуточная сокращенная консолидированная финансовая отчетность Банка за шесть месяцев, закончившихся 30 июня 2025 года</w:t>
      </w:r>
      <w:r>
        <w:rPr>
          <w:color w:val="000000"/>
          <w:sz w:val="22"/>
        </w:rPr>
        <w:t>;</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рассматривались отчеты о финансовых результатах деятельности Банка по стандартам РСБУ за квартал.</w:t>
      </w:r>
    </w:p>
    <w:p w:rsidR="00773E2C" w:rsidRDefault="00805665">
      <w:pPr>
        <w:ind w:firstLine="567"/>
        <w:jc w:val="both"/>
        <w:rPr>
          <w:b/>
          <w:iCs/>
          <w:color w:val="000000"/>
          <w:sz w:val="22"/>
          <w:szCs w:val="22"/>
        </w:rPr>
      </w:pPr>
      <w:bookmarkStart w:id="20" w:name="_Hlk226646338"/>
      <w:bookmarkEnd w:id="19"/>
      <w:r>
        <w:rPr>
          <w:b/>
          <w:iCs/>
          <w:color w:val="000000"/>
          <w:sz w:val="22"/>
          <w:szCs w:val="22"/>
        </w:rPr>
        <w:t>В части осуществления внутреннего контроля и управления рисками:</w:t>
      </w:r>
    </w:p>
    <w:p w:rsidR="00773E2C" w:rsidRDefault="00805665">
      <w:pPr>
        <w:numPr>
          <w:ilvl w:val="0"/>
          <w:numId w:val="27"/>
        </w:numPr>
        <w:tabs>
          <w:tab w:val="left" w:pos="851"/>
        </w:tabs>
        <w:autoSpaceDE w:val="0"/>
        <w:autoSpaceDN w:val="0"/>
        <w:adjustRightInd w:val="0"/>
        <w:ind w:left="851" w:hanging="284"/>
        <w:jc w:val="both"/>
        <w:rPr>
          <w:rFonts w:eastAsia="Calibri"/>
          <w:sz w:val="22"/>
          <w:szCs w:val="22"/>
          <w:lang w:eastAsia="en-US"/>
        </w:rPr>
      </w:pPr>
      <w:r>
        <w:rPr>
          <w:rFonts w:eastAsia="Calibri"/>
          <w:sz w:val="22"/>
          <w:szCs w:val="22"/>
          <w:lang w:eastAsia="en-US"/>
        </w:rPr>
        <w:t>рассмотрен Отчет о статусе выполнения плана работы Службы внутреннего аудита на 2025 год;</w:t>
      </w:r>
    </w:p>
    <w:p w:rsidR="00773E2C" w:rsidRDefault="00805665">
      <w:pPr>
        <w:numPr>
          <w:ilvl w:val="0"/>
          <w:numId w:val="27"/>
        </w:numPr>
        <w:tabs>
          <w:tab w:val="left" w:pos="851"/>
        </w:tabs>
        <w:autoSpaceDE w:val="0"/>
        <w:autoSpaceDN w:val="0"/>
        <w:adjustRightInd w:val="0"/>
        <w:ind w:left="851" w:hanging="284"/>
        <w:jc w:val="both"/>
        <w:rPr>
          <w:rFonts w:eastAsia="Calibri"/>
          <w:sz w:val="22"/>
          <w:szCs w:val="22"/>
          <w:lang w:eastAsia="en-US"/>
        </w:rPr>
      </w:pPr>
      <w:r>
        <w:rPr>
          <w:rFonts w:eastAsia="Calibri"/>
          <w:sz w:val="22"/>
          <w:szCs w:val="22"/>
          <w:lang w:eastAsia="en-US"/>
        </w:rPr>
        <w:t>рассмотрен Отчет Службы внутреннего контроля Банка о проделанной работе за 2024 год;</w:t>
      </w:r>
    </w:p>
    <w:p w:rsidR="00773E2C" w:rsidRDefault="00805665">
      <w:pPr>
        <w:numPr>
          <w:ilvl w:val="0"/>
          <w:numId w:val="27"/>
        </w:numPr>
        <w:tabs>
          <w:tab w:val="left" w:pos="851"/>
        </w:tabs>
        <w:autoSpaceDE w:val="0"/>
        <w:autoSpaceDN w:val="0"/>
        <w:adjustRightInd w:val="0"/>
        <w:ind w:left="851" w:hanging="284"/>
        <w:jc w:val="both"/>
        <w:rPr>
          <w:rFonts w:eastAsia="Calibri"/>
          <w:sz w:val="22"/>
          <w:szCs w:val="22"/>
          <w:lang w:eastAsia="en-US"/>
        </w:rPr>
      </w:pPr>
      <w:r>
        <w:rPr>
          <w:rFonts w:eastAsia="Calibri"/>
          <w:sz w:val="22"/>
          <w:szCs w:val="22"/>
          <w:lang w:eastAsia="en-US"/>
        </w:rPr>
        <w:t>рассмотрены ежеквартальные отчеты о статусе выполнения плана работы Службы внутреннего аудита Банка, а также отчет о статусе выполнения плана работы Службы внутреннего аудита за 2024 год;</w:t>
      </w:r>
    </w:p>
    <w:bookmarkEnd w:id="20"/>
    <w:p w:rsidR="00773E2C" w:rsidRDefault="00805665">
      <w:pPr>
        <w:numPr>
          <w:ilvl w:val="0"/>
          <w:numId w:val="27"/>
        </w:numPr>
        <w:tabs>
          <w:tab w:val="left" w:pos="851"/>
        </w:tabs>
        <w:autoSpaceDE w:val="0"/>
        <w:autoSpaceDN w:val="0"/>
        <w:adjustRightInd w:val="0"/>
        <w:ind w:left="851" w:hanging="284"/>
        <w:jc w:val="both"/>
        <w:rPr>
          <w:rFonts w:eastAsia="Calibri"/>
          <w:sz w:val="22"/>
          <w:szCs w:val="22"/>
          <w:lang w:eastAsia="en-US"/>
        </w:rPr>
      </w:pPr>
      <w:r>
        <w:rPr>
          <w:rFonts w:eastAsia="Calibri"/>
          <w:sz w:val="22"/>
          <w:szCs w:val="22"/>
          <w:lang w:eastAsia="en-US"/>
        </w:rPr>
        <w:t>рассмотрены результаты комплексной проверки Банка;</w:t>
      </w:r>
    </w:p>
    <w:p w:rsidR="00773E2C" w:rsidRDefault="00805665">
      <w:pPr>
        <w:numPr>
          <w:ilvl w:val="0"/>
          <w:numId w:val="27"/>
        </w:numPr>
        <w:tabs>
          <w:tab w:val="left" w:pos="851"/>
        </w:tabs>
        <w:autoSpaceDE w:val="0"/>
        <w:autoSpaceDN w:val="0"/>
        <w:adjustRightInd w:val="0"/>
        <w:ind w:left="851" w:hanging="284"/>
        <w:jc w:val="both"/>
        <w:rPr>
          <w:rFonts w:eastAsia="Calibri"/>
          <w:sz w:val="22"/>
          <w:szCs w:val="22"/>
          <w:lang w:eastAsia="en-US"/>
        </w:rPr>
      </w:pPr>
      <w:r>
        <w:rPr>
          <w:rFonts w:eastAsia="Calibri"/>
          <w:sz w:val="22"/>
          <w:szCs w:val="22"/>
          <w:lang w:eastAsia="en-US"/>
        </w:rPr>
        <w:t>рассмотрен план работы Службы внутреннего аудита Банка на 2026 год</w:t>
      </w:r>
      <w:r>
        <w:rPr>
          <w:sz w:val="22"/>
        </w:rPr>
        <w:t>;</w:t>
      </w:r>
    </w:p>
    <w:p w:rsidR="00773E2C" w:rsidRDefault="00805665">
      <w:pPr>
        <w:numPr>
          <w:ilvl w:val="0"/>
          <w:numId w:val="27"/>
        </w:numPr>
        <w:tabs>
          <w:tab w:val="left" w:pos="851"/>
        </w:tabs>
        <w:autoSpaceDE w:val="0"/>
        <w:autoSpaceDN w:val="0"/>
        <w:adjustRightInd w:val="0"/>
        <w:ind w:left="851" w:hanging="284"/>
        <w:jc w:val="both"/>
        <w:rPr>
          <w:rFonts w:eastAsia="Calibri"/>
          <w:sz w:val="22"/>
          <w:szCs w:val="22"/>
          <w:lang w:eastAsia="en-US"/>
        </w:rPr>
      </w:pPr>
      <w:r>
        <w:rPr>
          <w:rFonts w:eastAsia="Calibri"/>
          <w:sz w:val="22"/>
          <w:szCs w:val="22"/>
          <w:lang w:eastAsia="en-US"/>
        </w:rPr>
        <w:t>рассмотрена новая редакция Кредитной политики Банка;</w:t>
      </w:r>
    </w:p>
    <w:p w:rsidR="00773E2C" w:rsidRDefault="00805665">
      <w:pPr>
        <w:numPr>
          <w:ilvl w:val="0"/>
          <w:numId w:val="27"/>
        </w:numPr>
        <w:tabs>
          <w:tab w:val="left" w:pos="851"/>
        </w:tabs>
        <w:autoSpaceDE w:val="0"/>
        <w:autoSpaceDN w:val="0"/>
        <w:adjustRightInd w:val="0"/>
        <w:ind w:left="851" w:hanging="284"/>
        <w:jc w:val="both"/>
        <w:rPr>
          <w:rFonts w:eastAsia="Calibri"/>
          <w:sz w:val="22"/>
          <w:szCs w:val="22"/>
          <w:lang w:eastAsia="en-US"/>
        </w:rPr>
      </w:pPr>
      <w:r>
        <w:rPr>
          <w:rFonts w:eastAsia="Calibri"/>
          <w:sz w:val="22"/>
          <w:szCs w:val="22"/>
          <w:lang w:eastAsia="en-US"/>
        </w:rPr>
        <w:t>рассмотрена новая редакция Политики управления процентным риском банковской книги Банка и Банковской группы;</w:t>
      </w:r>
    </w:p>
    <w:p w:rsidR="00773E2C" w:rsidRDefault="00805665">
      <w:pPr>
        <w:numPr>
          <w:ilvl w:val="0"/>
          <w:numId w:val="27"/>
        </w:numPr>
        <w:tabs>
          <w:tab w:val="left" w:pos="851"/>
        </w:tabs>
        <w:autoSpaceDE w:val="0"/>
        <w:autoSpaceDN w:val="0"/>
        <w:adjustRightInd w:val="0"/>
        <w:ind w:left="851" w:hanging="284"/>
        <w:jc w:val="both"/>
        <w:rPr>
          <w:rFonts w:eastAsia="Calibri"/>
          <w:sz w:val="22"/>
          <w:szCs w:val="22"/>
          <w:lang w:eastAsia="en-US"/>
        </w:rPr>
      </w:pPr>
      <w:r>
        <w:rPr>
          <w:rFonts w:eastAsia="Calibri"/>
          <w:sz w:val="22"/>
          <w:szCs w:val="22"/>
          <w:lang w:eastAsia="en-US"/>
        </w:rPr>
        <w:t>рассмотрены новые редакции Плана обеспечения непрерывности и восстановления деятельности Банка;</w:t>
      </w:r>
    </w:p>
    <w:p w:rsidR="00773E2C" w:rsidRDefault="00805665">
      <w:pPr>
        <w:numPr>
          <w:ilvl w:val="0"/>
          <w:numId w:val="27"/>
        </w:numPr>
        <w:tabs>
          <w:tab w:val="left" w:pos="851"/>
        </w:tabs>
        <w:autoSpaceDE w:val="0"/>
        <w:autoSpaceDN w:val="0"/>
        <w:adjustRightInd w:val="0"/>
        <w:ind w:left="851" w:hanging="284"/>
        <w:jc w:val="both"/>
        <w:rPr>
          <w:rFonts w:eastAsia="Calibri"/>
          <w:sz w:val="22"/>
          <w:szCs w:val="22"/>
          <w:lang w:eastAsia="en-US"/>
        </w:rPr>
      </w:pPr>
      <w:r>
        <w:rPr>
          <w:rFonts w:eastAsia="Calibri"/>
          <w:sz w:val="22"/>
          <w:szCs w:val="22"/>
          <w:lang w:eastAsia="en-US"/>
        </w:rPr>
        <w:t>рассмотрена новая редакция Политики управления риском информационной безопасности Банка и Банковской группы, Заключение о расчете и обосновании сигнальных и контрольных значений контрольных показателей уровня риска информационной безопасности Банка, а также сигнальных и контрольных значений контрольных показателей уровня риска информационной безопасности Банка на 2025 год в целом по Банку;</w:t>
      </w:r>
    </w:p>
    <w:p w:rsidR="00773E2C" w:rsidRDefault="00805665">
      <w:pPr>
        <w:numPr>
          <w:ilvl w:val="0"/>
          <w:numId w:val="27"/>
        </w:numPr>
        <w:tabs>
          <w:tab w:val="left" w:pos="851"/>
        </w:tabs>
        <w:autoSpaceDE w:val="0"/>
        <w:autoSpaceDN w:val="0"/>
        <w:adjustRightInd w:val="0"/>
        <w:ind w:left="851" w:hanging="284"/>
        <w:jc w:val="both"/>
        <w:rPr>
          <w:rFonts w:eastAsia="Calibri"/>
          <w:sz w:val="22"/>
          <w:szCs w:val="22"/>
          <w:lang w:eastAsia="en-US"/>
        </w:rPr>
      </w:pPr>
      <w:r>
        <w:rPr>
          <w:rFonts w:eastAsia="Calibri"/>
          <w:sz w:val="22"/>
          <w:szCs w:val="22"/>
          <w:lang w:eastAsia="en-US"/>
        </w:rPr>
        <w:t>рассмотрена новая редакция Политики управления операционным риском Банка и Банковской группы;</w:t>
      </w:r>
    </w:p>
    <w:p w:rsidR="00773E2C" w:rsidRDefault="00805665">
      <w:pPr>
        <w:numPr>
          <w:ilvl w:val="0"/>
          <w:numId w:val="27"/>
        </w:numPr>
        <w:tabs>
          <w:tab w:val="left" w:pos="851"/>
        </w:tabs>
        <w:autoSpaceDE w:val="0"/>
        <w:autoSpaceDN w:val="0"/>
        <w:adjustRightInd w:val="0"/>
        <w:ind w:left="851" w:hanging="284"/>
        <w:jc w:val="both"/>
        <w:rPr>
          <w:rFonts w:eastAsia="Calibri"/>
          <w:sz w:val="22"/>
          <w:szCs w:val="22"/>
          <w:lang w:eastAsia="en-US"/>
        </w:rPr>
      </w:pPr>
      <w:r>
        <w:rPr>
          <w:rFonts w:eastAsia="Calibri"/>
          <w:sz w:val="22"/>
          <w:szCs w:val="22"/>
          <w:lang w:eastAsia="en-US"/>
        </w:rPr>
        <w:t>рассмотрена новая редакция Политики управления риском концентрации Банка;</w:t>
      </w:r>
    </w:p>
    <w:p w:rsidR="00773E2C" w:rsidRDefault="00805665">
      <w:pPr>
        <w:numPr>
          <w:ilvl w:val="0"/>
          <w:numId w:val="27"/>
        </w:numPr>
        <w:tabs>
          <w:tab w:val="left" w:pos="851"/>
        </w:tabs>
        <w:autoSpaceDE w:val="0"/>
        <w:autoSpaceDN w:val="0"/>
        <w:adjustRightInd w:val="0"/>
        <w:ind w:left="851" w:hanging="284"/>
        <w:jc w:val="both"/>
        <w:rPr>
          <w:rFonts w:eastAsia="Calibri"/>
          <w:sz w:val="22"/>
          <w:szCs w:val="22"/>
          <w:lang w:eastAsia="en-US"/>
        </w:rPr>
      </w:pPr>
      <w:r>
        <w:rPr>
          <w:rFonts w:eastAsia="Calibri"/>
          <w:sz w:val="22"/>
          <w:szCs w:val="22"/>
          <w:lang w:eastAsia="en-US"/>
        </w:rPr>
        <w:lastRenderedPageBreak/>
        <w:t>рассмотрена новая редакция Правил внутреннего контроля Банка по предотвращению, выявлению и пресечению неправомерного использования инсайдерской информации и манипулирования рынком (версия 7.0);</w:t>
      </w:r>
    </w:p>
    <w:p w:rsidR="00773E2C" w:rsidRDefault="00805665">
      <w:pPr>
        <w:numPr>
          <w:ilvl w:val="0"/>
          <w:numId w:val="27"/>
        </w:numPr>
        <w:tabs>
          <w:tab w:val="left" w:pos="851"/>
        </w:tabs>
        <w:autoSpaceDE w:val="0"/>
        <w:autoSpaceDN w:val="0"/>
        <w:adjustRightInd w:val="0"/>
        <w:ind w:left="851" w:hanging="284"/>
        <w:jc w:val="both"/>
        <w:rPr>
          <w:rFonts w:eastAsia="Calibri"/>
          <w:sz w:val="22"/>
          <w:szCs w:val="22"/>
          <w:lang w:eastAsia="en-US"/>
        </w:rPr>
      </w:pPr>
      <w:r>
        <w:rPr>
          <w:rFonts w:eastAsia="Calibri"/>
          <w:sz w:val="22"/>
          <w:szCs w:val="22"/>
          <w:lang w:eastAsia="en-US"/>
        </w:rPr>
        <w:t>рассмотрена Стратегия управления рисками и капиталом Банка и Банковской группы (версия 10.0);</w:t>
      </w:r>
    </w:p>
    <w:p w:rsidR="00773E2C" w:rsidRDefault="00805665">
      <w:pPr>
        <w:numPr>
          <w:ilvl w:val="0"/>
          <w:numId w:val="27"/>
        </w:numPr>
        <w:tabs>
          <w:tab w:val="left" w:pos="851"/>
        </w:tabs>
        <w:autoSpaceDE w:val="0"/>
        <w:autoSpaceDN w:val="0"/>
        <w:adjustRightInd w:val="0"/>
        <w:ind w:left="851" w:hanging="284"/>
        <w:jc w:val="both"/>
        <w:rPr>
          <w:rFonts w:eastAsia="Calibri"/>
          <w:sz w:val="22"/>
          <w:szCs w:val="22"/>
          <w:lang w:eastAsia="en-US"/>
        </w:rPr>
      </w:pPr>
      <w:r>
        <w:rPr>
          <w:rFonts w:eastAsia="Calibri"/>
          <w:sz w:val="22"/>
          <w:szCs w:val="22"/>
          <w:lang w:eastAsia="en-US"/>
        </w:rPr>
        <w:t>рассмотрен вопрос об актуальности документов ВПОДК Банка;</w:t>
      </w:r>
    </w:p>
    <w:p w:rsidR="00773E2C" w:rsidRDefault="00805665">
      <w:pPr>
        <w:numPr>
          <w:ilvl w:val="0"/>
          <w:numId w:val="27"/>
        </w:numPr>
        <w:tabs>
          <w:tab w:val="left" w:pos="851"/>
        </w:tabs>
        <w:autoSpaceDE w:val="0"/>
        <w:autoSpaceDN w:val="0"/>
        <w:adjustRightInd w:val="0"/>
        <w:ind w:left="851" w:hanging="284"/>
        <w:jc w:val="both"/>
        <w:rPr>
          <w:rFonts w:eastAsia="Calibri"/>
          <w:sz w:val="22"/>
          <w:szCs w:val="22"/>
          <w:lang w:eastAsia="en-US"/>
        </w:rPr>
      </w:pPr>
      <w:r>
        <w:rPr>
          <w:rFonts w:eastAsia="Calibri"/>
          <w:sz w:val="22"/>
          <w:szCs w:val="22"/>
          <w:lang w:eastAsia="en-US"/>
        </w:rPr>
        <w:t>рассмотрен Отчет о значимых рисках и достаточности капитала Банка и Банковской группы за IV квартал 2024 года;</w:t>
      </w:r>
    </w:p>
    <w:p w:rsidR="00773E2C" w:rsidRDefault="00805665">
      <w:pPr>
        <w:numPr>
          <w:ilvl w:val="0"/>
          <w:numId w:val="27"/>
        </w:numPr>
        <w:tabs>
          <w:tab w:val="left" w:pos="851"/>
        </w:tabs>
        <w:autoSpaceDE w:val="0"/>
        <w:autoSpaceDN w:val="0"/>
        <w:adjustRightInd w:val="0"/>
        <w:ind w:left="851" w:hanging="284"/>
        <w:jc w:val="both"/>
        <w:rPr>
          <w:rFonts w:eastAsia="Calibri"/>
          <w:sz w:val="22"/>
          <w:szCs w:val="22"/>
          <w:lang w:eastAsia="en-US"/>
        </w:rPr>
      </w:pPr>
      <w:r>
        <w:rPr>
          <w:rFonts w:eastAsia="Calibri"/>
          <w:sz w:val="22"/>
          <w:szCs w:val="22"/>
          <w:lang w:eastAsia="en-US"/>
        </w:rPr>
        <w:t>рассмотрен Отчет о результатах контрольных процедур по оценке качества предоставляемых финансовых услуг по итогам 2024 года;</w:t>
      </w:r>
    </w:p>
    <w:p w:rsidR="00773E2C" w:rsidRDefault="00805665">
      <w:pPr>
        <w:numPr>
          <w:ilvl w:val="0"/>
          <w:numId w:val="27"/>
        </w:numPr>
        <w:tabs>
          <w:tab w:val="left" w:pos="851"/>
        </w:tabs>
        <w:autoSpaceDE w:val="0"/>
        <w:autoSpaceDN w:val="0"/>
        <w:adjustRightInd w:val="0"/>
        <w:ind w:left="851" w:hanging="284"/>
        <w:jc w:val="both"/>
        <w:rPr>
          <w:rFonts w:eastAsia="Calibri"/>
          <w:sz w:val="22"/>
          <w:szCs w:val="22"/>
          <w:lang w:eastAsia="en-US"/>
        </w:rPr>
      </w:pPr>
      <w:r>
        <w:rPr>
          <w:rFonts w:eastAsia="Calibri"/>
          <w:sz w:val="22"/>
          <w:szCs w:val="22"/>
          <w:lang w:eastAsia="en-US"/>
        </w:rPr>
        <w:t>рассмотрен Отчет о результатах оценки эффективности внутренних процедур оценки достаточности капитала Банка за 2024 год;</w:t>
      </w:r>
    </w:p>
    <w:p w:rsidR="00773E2C" w:rsidRDefault="00805665">
      <w:pPr>
        <w:numPr>
          <w:ilvl w:val="0"/>
          <w:numId w:val="27"/>
        </w:numPr>
        <w:tabs>
          <w:tab w:val="left" w:pos="851"/>
        </w:tabs>
        <w:autoSpaceDE w:val="0"/>
        <w:autoSpaceDN w:val="0"/>
        <w:adjustRightInd w:val="0"/>
        <w:ind w:left="851" w:hanging="284"/>
        <w:jc w:val="both"/>
        <w:rPr>
          <w:rFonts w:eastAsia="Calibri"/>
          <w:sz w:val="22"/>
          <w:szCs w:val="22"/>
          <w:lang w:eastAsia="en-US"/>
        </w:rPr>
      </w:pPr>
      <w:r>
        <w:rPr>
          <w:rFonts w:eastAsia="Calibri"/>
          <w:sz w:val="22"/>
          <w:szCs w:val="22"/>
          <w:lang w:eastAsia="en-US"/>
        </w:rPr>
        <w:t>рассмотрен Отчет о результатах оценки эффективности внутренних процедур оценки достаточности капитала Банковской группы за 2024 год;</w:t>
      </w:r>
    </w:p>
    <w:p w:rsidR="00773E2C" w:rsidRDefault="00805665">
      <w:pPr>
        <w:numPr>
          <w:ilvl w:val="0"/>
          <w:numId w:val="27"/>
        </w:numPr>
        <w:tabs>
          <w:tab w:val="left" w:pos="851"/>
        </w:tabs>
        <w:autoSpaceDE w:val="0"/>
        <w:autoSpaceDN w:val="0"/>
        <w:adjustRightInd w:val="0"/>
        <w:ind w:left="851" w:hanging="284"/>
        <w:jc w:val="both"/>
        <w:rPr>
          <w:rFonts w:eastAsia="Calibri"/>
          <w:sz w:val="22"/>
          <w:szCs w:val="22"/>
          <w:lang w:eastAsia="en-US"/>
        </w:rPr>
      </w:pPr>
      <w:r>
        <w:rPr>
          <w:rFonts w:eastAsia="Calibri"/>
          <w:sz w:val="22"/>
          <w:szCs w:val="22"/>
          <w:lang w:eastAsia="en-US"/>
        </w:rPr>
        <w:t>рассмотрен Отчет о результатах оценки эффективности управления операционным риском в Банке и Банковской группе за 2024 год;</w:t>
      </w:r>
    </w:p>
    <w:p w:rsidR="00773E2C" w:rsidRDefault="00805665">
      <w:pPr>
        <w:numPr>
          <w:ilvl w:val="0"/>
          <w:numId w:val="27"/>
        </w:numPr>
        <w:tabs>
          <w:tab w:val="left" w:pos="851"/>
        </w:tabs>
        <w:autoSpaceDE w:val="0"/>
        <w:autoSpaceDN w:val="0"/>
        <w:adjustRightInd w:val="0"/>
        <w:ind w:left="851" w:hanging="284"/>
        <w:jc w:val="both"/>
        <w:rPr>
          <w:rFonts w:eastAsia="Calibri"/>
          <w:sz w:val="22"/>
          <w:szCs w:val="22"/>
          <w:lang w:eastAsia="en-US"/>
        </w:rPr>
      </w:pPr>
      <w:r>
        <w:rPr>
          <w:rFonts w:eastAsia="Calibri"/>
          <w:sz w:val="22"/>
          <w:szCs w:val="22"/>
          <w:lang w:eastAsia="en-US"/>
        </w:rPr>
        <w:t>рассмотрен Отчет о результатах выполнения ВПОДК Банка и Банковской группы за 2024 год;</w:t>
      </w:r>
    </w:p>
    <w:p w:rsidR="00773E2C" w:rsidRDefault="00805665">
      <w:pPr>
        <w:numPr>
          <w:ilvl w:val="0"/>
          <w:numId w:val="27"/>
        </w:numPr>
        <w:tabs>
          <w:tab w:val="left" w:pos="851"/>
        </w:tabs>
        <w:autoSpaceDE w:val="0"/>
        <w:autoSpaceDN w:val="0"/>
        <w:adjustRightInd w:val="0"/>
        <w:ind w:left="851" w:hanging="284"/>
        <w:jc w:val="both"/>
        <w:rPr>
          <w:rFonts w:eastAsia="Calibri"/>
          <w:sz w:val="22"/>
          <w:szCs w:val="22"/>
          <w:lang w:eastAsia="en-US"/>
        </w:rPr>
      </w:pPr>
      <w:r>
        <w:rPr>
          <w:rFonts w:eastAsia="Calibri"/>
          <w:sz w:val="22"/>
          <w:szCs w:val="22"/>
          <w:lang w:eastAsia="en-US"/>
        </w:rPr>
        <w:t>рассмотрен Отчет по управлению операционной надежностью технологических процессов за 2024 год;</w:t>
      </w:r>
    </w:p>
    <w:p w:rsidR="00773E2C" w:rsidRDefault="00805665">
      <w:pPr>
        <w:numPr>
          <w:ilvl w:val="0"/>
          <w:numId w:val="27"/>
        </w:numPr>
        <w:tabs>
          <w:tab w:val="left" w:pos="851"/>
        </w:tabs>
        <w:autoSpaceDE w:val="0"/>
        <w:autoSpaceDN w:val="0"/>
        <w:adjustRightInd w:val="0"/>
        <w:ind w:left="851" w:hanging="284"/>
        <w:jc w:val="both"/>
        <w:rPr>
          <w:rFonts w:eastAsia="Calibri"/>
          <w:sz w:val="22"/>
          <w:szCs w:val="22"/>
          <w:lang w:eastAsia="en-US"/>
        </w:rPr>
      </w:pPr>
      <w:r>
        <w:rPr>
          <w:rFonts w:eastAsia="Calibri"/>
          <w:sz w:val="22"/>
          <w:szCs w:val="22"/>
          <w:lang w:eastAsia="en-US"/>
        </w:rPr>
        <w:t>рассмотрен Отчет об управлении операционным риском Банка за 2024 год;</w:t>
      </w:r>
    </w:p>
    <w:p w:rsidR="00773E2C" w:rsidRDefault="00805665">
      <w:pPr>
        <w:numPr>
          <w:ilvl w:val="0"/>
          <w:numId w:val="27"/>
        </w:numPr>
        <w:tabs>
          <w:tab w:val="left" w:pos="851"/>
        </w:tabs>
        <w:autoSpaceDE w:val="0"/>
        <w:autoSpaceDN w:val="0"/>
        <w:adjustRightInd w:val="0"/>
        <w:ind w:left="851" w:hanging="284"/>
        <w:jc w:val="both"/>
        <w:rPr>
          <w:rFonts w:eastAsia="Calibri"/>
          <w:sz w:val="22"/>
          <w:szCs w:val="22"/>
          <w:lang w:eastAsia="en-US"/>
        </w:rPr>
      </w:pPr>
      <w:r>
        <w:rPr>
          <w:rFonts w:eastAsia="Calibri"/>
          <w:sz w:val="22"/>
          <w:szCs w:val="22"/>
          <w:lang w:eastAsia="en-US"/>
        </w:rPr>
        <w:t>рассмотрено Заключение о расчете и обосновании сигнальных и контрольных значений контрольных показателей уровня операционного риска Банка на 2025 год;</w:t>
      </w:r>
    </w:p>
    <w:p w:rsidR="00773E2C" w:rsidRDefault="00805665">
      <w:pPr>
        <w:numPr>
          <w:ilvl w:val="0"/>
          <w:numId w:val="27"/>
        </w:numPr>
        <w:tabs>
          <w:tab w:val="left" w:pos="851"/>
        </w:tabs>
        <w:autoSpaceDE w:val="0"/>
        <w:autoSpaceDN w:val="0"/>
        <w:adjustRightInd w:val="0"/>
        <w:ind w:left="851" w:hanging="284"/>
        <w:jc w:val="both"/>
        <w:rPr>
          <w:rFonts w:eastAsia="Calibri"/>
          <w:sz w:val="22"/>
          <w:szCs w:val="22"/>
          <w:lang w:eastAsia="en-US"/>
        </w:rPr>
      </w:pPr>
      <w:r>
        <w:rPr>
          <w:rFonts w:eastAsia="Calibri"/>
          <w:sz w:val="22"/>
          <w:szCs w:val="22"/>
          <w:lang w:eastAsia="en-US"/>
        </w:rPr>
        <w:t>рассмотрен Отчет о результатах реализации в 2024 году Правил внутреннего контроля Банка в целях противодействия легализации (отмыванию) доходов, полученных преступным путем, финансированию терроризма и финансирования распространения оружия массового уничтожения;</w:t>
      </w:r>
    </w:p>
    <w:p w:rsidR="00773E2C" w:rsidRDefault="00805665">
      <w:pPr>
        <w:numPr>
          <w:ilvl w:val="0"/>
          <w:numId w:val="27"/>
        </w:numPr>
        <w:tabs>
          <w:tab w:val="left" w:pos="851"/>
        </w:tabs>
        <w:autoSpaceDE w:val="0"/>
        <w:autoSpaceDN w:val="0"/>
        <w:adjustRightInd w:val="0"/>
        <w:ind w:left="851" w:hanging="284"/>
        <w:jc w:val="both"/>
        <w:rPr>
          <w:rFonts w:eastAsia="Calibri"/>
          <w:sz w:val="22"/>
          <w:szCs w:val="22"/>
          <w:lang w:eastAsia="en-US"/>
        </w:rPr>
      </w:pPr>
      <w:r>
        <w:rPr>
          <w:rFonts w:eastAsia="Calibri"/>
          <w:sz w:val="22"/>
          <w:szCs w:val="22"/>
          <w:lang w:eastAsia="en-US"/>
        </w:rPr>
        <w:t>рассмотрены отчеты о значимых рисках и достаточности капитала Банка;</w:t>
      </w:r>
    </w:p>
    <w:p w:rsidR="00773E2C" w:rsidRDefault="00805665">
      <w:pPr>
        <w:numPr>
          <w:ilvl w:val="0"/>
          <w:numId w:val="27"/>
        </w:numPr>
        <w:tabs>
          <w:tab w:val="left" w:pos="851"/>
        </w:tabs>
        <w:autoSpaceDE w:val="0"/>
        <w:autoSpaceDN w:val="0"/>
        <w:adjustRightInd w:val="0"/>
        <w:ind w:left="851" w:hanging="284"/>
        <w:jc w:val="both"/>
        <w:rPr>
          <w:rFonts w:eastAsia="Calibri"/>
          <w:sz w:val="22"/>
          <w:szCs w:val="22"/>
          <w:lang w:eastAsia="en-US"/>
        </w:rPr>
      </w:pPr>
      <w:r>
        <w:rPr>
          <w:rFonts w:eastAsia="Calibri"/>
          <w:sz w:val="22"/>
          <w:szCs w:val="22"/>
          <w:lang w:eastAsia="en-US"/>
        </w:rPr>
        <w:t>рассмотрен Отчет о мониторинге регуляторного риска по направлениям деятельности Банка с высоким уровнем регуляторного риска по результатам 2024 года;</w:t>
      </w:r>
    </w:p>
    <w:p w:rsidR="00773E2C" w:rsidRDefault="00805665">
      <w:pPr>
        <w:numPr>
          <w:ilvl w:val="0"/>
          <w:numId w:val="27"/>
        </w:numPr>
        <w:tabs>
          <w:tab w:val="left" w:pos="851"/>
        </w:tabs>
        <w:autoSpaceDE w:val="0"/>
        <w:autoSpaceDN w:val="0"/>
        <w:adjustRightInd w:val="0"/>
        <w:ind w:left="851" w:hanging="284"/>
        <w:jc w:val="both"/>
        <w:rPr>
          <w:rFonts w:eastAsia="Calibri"/>
          <w:sz w:val="22"/>
          <w:szCs w:val="22"/>
          <w:lang w:eastAsia="en-US"/>
        </w:rPr>
      </w:pPr>
      <w:r>
        <w:rPr>
          <w:rFonts w:eastAsia="Calibri"/>
          <w:sz w:val="22"/>
          <w:szCs w:val="22"/>
          <w:lang w:eastAsia="en-US"/>
        </w:rPr>
        <w:t>рассмотрена новая редакция Политики управления регуляторным риском Банка и Банковской группы Банка;</w:t>
      </w:r>
    </w:p>
    <w:p w:rsidR="00773E2C" w:rsidRDefault="00805665">
      <w:pPr>
        <w:numPr>
          <w:ilvl w:val="0"/>
          <w:numId w:val="27"/>
        </w:numPr>
        <w:tabs>
          <w:tab w:val="left" w:pos="851"/>
        </w:tabs>
        <w:autoSpaceDE w:val="0"/>
        <w:autoSpaceDN w:val="0"/>
        <w:adjustRightInd w:val="0"/>
        <w:ind w:left="851" w:hanging="284"/>
        <w:jc w:val="both"/>
        <w:rPr>
          <w:rFonts w:eastAsia="Calibri"/>
          <w:sz w:val="22"/>
          <w:szCs w:val="22"/>
          <w:lang w:eastAsia="en-US"/>
        </w:rPr>
      </w:pPr>
      <w:r>
        <w:rPr>
          <w:rFonts w:eastAsia="Calibri"/>
          <w:sz w:val="22"/>
          <w:szCs w:val="22"/>
          <w:lang w:eastAsia="en-US"/>
        </w:rPr>
        <w:t>рассмотрено Положение о дивидендной политике Банка;</w:t>
      </w:r>
    </w:p>
    <w:p w:rsidR="00773E2C" w:rsidRDefault="00805665">
      <w:pPr>
        <w:numPr>
          <w:ilvl w:val="0"/>
          <w:numId w:val="27"/>
        </w:numPr>
        <w:tabs>
          <w:tab w:val="left" w:pos="851"/>
        </w:tabs>
        <w:autoSpaceDE w:val="0"/>
        <w:autoSpaceDN w:val="0"/>
        <w:adjustRightInd w:val="0"/>
        <w:ind w:left="851" w:hanging="284"/>
        <w:jc w:val="both"/>
        <w:rPr>
          <w:rFonts w:eastAsia="Calibri"/>
          <w:sz w:val="22"/>
          <w:szCs w:val="22"/>
          <w:lang w:eastAsia="en-US"/>
        </w:rPr>
      </w:pPr>
      <w:r>
        <w:rPr>
          <w:rFonts w:eastAsia="Calibri"/>
          <w:sz w:val="22"/>
          <w:szCs w:val="22"/>
          <w:lang w:eastAsia="en-US"/>
        </w:rPr>
        <w:t>выработаны рекомендации Наблюдательному совету Банка об отмене действия Политики управления значимыми рисками Банковской группы (версия 3.0).</w:t>
      </w:r>
    </w:p>
    <w:p w:rsidR="00773E2C" w:rsidRDefault="00805665">
      <w:pPr>
        <w:ind w:firstLine="567"/>
        <w:jc w:val="both"/>
        <w:rPr>
          <w:b/>
          <w:iCs/>
          <w:color w:val="000000"/>
          <w:sz w:val="22"/>
          <w:szCs w:val="22"/>
        </w:rPr>
      </w:pPr>
      <w:r>
        <w:rPr>
          <w:b/>
          <w:iCs/>
          <w:color w:val="000000"/>
          <w:sz w:val="22"/>
          <w:szCs w:val="22"/>
        </w:rPr>
        <w:t>В части реализации информационной политики:</w:t>
      </w:r>
    </w:p>
    <w:p w:rsidR="00773E2C" w:rsidRDefault="00805665">
      <w:pPr>
        <w:numPr>
          <w:ilvl w:val="0"/>
          <w:numId w:val="27"/>
        </w:numPr>
        <w:tabs>
          <w:tab w:val="left" w:pos="851"/>
        </w:tabs>
        <w:autoSpaceDE w:val="0"/>
        <w:autoSpaceDN w:val="0"/>
        <w:adjustRightInd w:val="0"/>
        <w:ind w:left="851" w:hanging="284"/>
        <w:jc w:val="both"/>
        <w:rPr>
          <w:rFonts w:eastAsia="Calibri"/>
          <w:sz w:val="22"/>
          <w:szCs w:val="22"/>
          <w:lang w:eastAsia="en-US"/>
        </w:rPr>
      </w:pPr>
      <w:r>
        <w:rPr>
          <w:rFonts w:eastAsia="Calibri"/>
          <w:sz w:val="22"/>
          <w:szCs w:val="22"/>
          <w:lang w:eastAsia="en-US"/>
        </w:rPr>
        <w:t>рассмотрен Отчет об исполнении Информационной политики Банка за 2024 год.</w:t>
      </w:r>
    </w:p>
    <w:p w:rsidR="00773E2C" w:rsidRDefault="00805665">
      <w:pPr>
        <w:ind w:firstLine="567"/>
        <w:jc w:val="both"/>
        <w:rPr>
          <w:b/>
          <w:iCs/>
          <w:color w:val="000000"/>
          <w:sz w:val="22"/>
          <w:szCs w:val="22"/>
        </w:rPr>
      </w:pPr>
      <w:r>
        <w:rPr>
          <w:b/>
          <w:iCs/>
          <w:color w:val="000000"/>
          <w:sz w:val="22"/>
          <w:szCs w:val="22"/>
        </w:rPr>
        <w:t>В части одобрения сделок, в совершении которых имеется заинтересованность:</w:t>
      </w:r>
    </w:p>
    <w:p w:rsidR="00773E2C" w:rsidRDefault="00805665">
      <w:pPr>
        <w:numPr>
          <w:ilvl w:val="0"/>
          <w:numId w:val="27"/>
        </w:numPr>
        <w:tabs>
          <w:tab w:val="left" w:pos="851"/>
        </w:tabs>
        <w:autoSpaceDE w:val="0"/>
        <w:autoSpaceDN w:val="0"/>
        <w:adjustRightInd w:val="0"/>
        <w:ind w:left="851" w:hanging="284"/>
        <w:jc w:val="both"/>
        <w:rPr>
          <w:rFonts w:eastAsia="Calibri"/>
          <w:sz w:val="22"/>
          <w:szCs w:val="22"/>
          <w:lang w:eastAsia="en-US"/>
        </w:rPr>
      </w:pPr>
      <w:r>
        <w:rPr>
          <w:rFonts w:eastAsia="Calibri"/>
          <w:sz w:val="22"/>
          <w:szCs w:val="22"/>
          <w:lang w:eastAsia="en-US"/>
        </w:rPr>
        <w:t>рассмотрен вопрос о необходимости получения согласия органов управления Банка на совершение сделок, в совершении которых имеются признаки заинтересованности.</w:t>
      </w:r>
    </w:p>
    <w:p w:rsidR="00773E2C" w:rsidRDefault="00805665">
      <w:pPr>
        <w:ind w:firstLine="567"/>
        <w:jc w:val="both"/>
        <w:rPr>
          <w:b/>
          <w:iCs/>
          <w:color w:val="000000"/>
          <w:sz w:val="22"/>
          <w:szCs w:val="22"/>
        </w:rPr>
      </w:pPr>
      <w:r>
        <w:rPr>
          <w:b/>
          <w:iCs/>
          <w:color w:val="000000"/>
          <w:sz w:val="22"/>
          <w:szCs w:val="22"/>
        </w:rPr>
        <w:t>В части организации работы Комитета по аудиту, рискам и стратегии:</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 Отчет о деятельности КАРС за 2024 год;</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 вопрос об исполнени</w:t>
      </w:r>
      <w:r w:rsidR="00C120C9">
        <w:rPr>
          <w:color w:val="000000"/>
          <w:sz w:val="22"/>
          <w:szCs w:val="22"/>
        </w:rPr>
        <w:t>и</w:t>
      </w:r>
      <w:r>
        <w:rPr>
          <w:color w:val="000000"/>
          <w:sz w:val="22"/>
          <w:szCs w:val="22"/>
        </w:rPr>
        <w:t xml:space="preserve"> поручения КАРС;</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утвержден План работы КАРС на 2026 год.</w:t>
      </w:r>
    </w:p>
    <w:p w:rsidR="00773E2C" w:rsidRDefault="00805665">
      <w:pPr>
        <w:ind w:firstLine="567"/>
        <w:jc w:val="both"/>
        <w:rPr>
          <w:color w:val="000000" w:themeColor="text1"/>
          <w:sz w:val="22"/>
          <w:szCs w:val="22"/>
        </w:rPr>
      </w:pPr>
      <w:r>
        <w:rPr>
          <w:color w:val="000000" w:themeColor="text1"/>
          <w:sz w:val="22"/>
          <w:szCs w:val="22"/>
        </w:rPr>
        <w:t>Кворум для принятия решений КАРС составляет не менее половины от числа назначенных членов КАРС. Участие членов КАРС в заседании с использованием конференц</w:t>
      </w:r>
      <w:r w:rsidRPr="00DF46F5">
        <w:rPr>
          <w:color w:val="000000" w:themeColor="text1"/>
          <w:sz w:val="22"/>
          <w:szCs w:val="22"/>
        </w:rPr>
        <w:t xml:space="preserve">- </w:t>
      </w:r>
      <w:r w:rsidRPr="00106027">
        <w:rPr>
          <w:color w:val="000000" w:themeColor="text1"/>
          <w:sz w:val="22"/>
          <w:szCs w:val="22"/>
        </w:rPr>
        <w:t>и</w:t>
      </w:r>
      <w:r w:rsidR="00C120C9">
        <w:rPr>
          <w:color w:val="000000" w:themeColor="text1"/>
          <w:sz w:val="22"/>
          <w:szCs w:val="22"/>
        </w:rPr>
        <w:t xml:space="preserve"> </w:t>
      </w:r>
      <w:r w:rsidRPr="00106027">
        <w:rPr>
          <w:color w:val="000000" w:themeColor="text1"/>
          <w:sz w:val="22"/>
          <w:szCs w:val="22"/>
        </w:rPr>
        <w:t>(или)</w:t>
      </w:r>
      <w:r w:rsidRPr="00DF46F5">
        <w:rPr>
          <w:color w:val="000000" w:themeColor="text1"/>
          <w:sz w:val="22"/>
          <w:szCs w:val="22"/>
        </w:rPr>
        <w:t xml:space="preserve"> </w:t>
      </w:r>
      <w:r w:rsidRPr="004D32A8">
        <w:rPr>
          <w:color w:val="000000" w:themeColor="text1"/>
          <w:sz w:val="22"/>
          <w:szCs w:val="22"/>
        </w:rPr>
        <w:t>видео</w:t>
      </w:r>
      <w:r w:rsidR="00730FF6" w:rsidRPr="004D32A8">
        <w:rPr>
          <w:color w:val="000000" w:themeColor="text1"/>
          <w:sz w:val="22"/>
          <w:szCs w:val="22"/>
        </w:rPr>
        <w:t>-</w:t>
      </w:r>
      <w:r w:rsidRPr="004D32A8">
        <w:rPr>
          <w:color w:val="000000" w:themeColor="text1"/>
          <w:sz w:val="22"/>
          <w:szCs w:val="22"/>
        </w:rPr>
        <w:t>конференц</w:t>
      </w:r>
      <w:r w:rsidR="00730FF6" w:rsidRPr="004D32A8">
        <w:rPr>
          <w:color w:val="000000" w:themeColor="text1"/>
          <w:sz w:val="22"/>
          <w:szCs w:val="22"/>
        </w:rPr>
        <w:t>-</w:t>
      </w:r>
      <w:r w:rsidRPr="004D32A8">
        <w:rPr>
          <w:color w:val="000000" w:themeColor="text1"/>
          <w:sz w:val="22"/>
          <w:szCs w:val="22"/>
        </w:rPr>
        <w:t>связи</w:t>
      </w:r>
      <w:r w:rsidRPr="00904417">
        <w:rPr>
          <w:color w:val="000000" w:themeColor="text1"/>
          <w:sz w:val="22"/>
          <w:szCs w:val="22"/>
        </w:rPr>
        <w:t xml:space="preserve"> учитывается для целей определения кворума и результатов голосования. На ка</w:t>
      </w:r>
      <w:r w:rsidRPr="00DF46F5">
        <w:rPr>
          <w:color w:val="000000" w:themeColor="text1"/>
          <w:sz w:val="22"/>
          <w:szCs w:val="22"/>
        </w:rPr>
        <w:t>ждом заседани</w:t>
      </w:r>
      <w:r w:rsidRPr="00106027">
        <w:rPr>
          <w:color w:val="000000" w:themeColor="text1"/>
          <w:sz w:val="22"/>
          <w:szCs w:val="22"/>
        </w:rPr>
        <w:t>и или з</w:t>
      </w:r>
      <w:r w:rsidRPr="00DF46F5">
        <w:rPr>
          <w:color w:val="000000" w:themeColor="text1"/>
          <w:sz w:val="22"/>
          <w:szCs w:val="22"/>
        </w:rPr>
        <w:t>аочном голосовании Комитета по аудиту, рискам и стратегии, проведенном в</w:t>
      </w:r>
      <w:r>
        <w:rPr>
          <w:color w:val="000000" w:themeColor="text1"/>
          <w:sz w:val="22"/>
          <w:szCs w:val="22"/>
        </w:rPr>
        <w:t xml:space="preserve"> 2025 году, был обеспечен кворум для принятия решений по всем вопросам повестки дня. Информация об участии членов Комитета по аудиту, рискам и стратегии в его заседаниях или заочных голосованиях приведена в Таблице 4.4.2.</w:t>
      </w:r>
    </w:p>
    <w:p w:rsidR="00773E2C" w:rsidRDefault="00773E2C">
      <w:pPr>
        <w:ind w:firstLine="567"/>
        <w:jc w:val="both"/>
        <w:rPr>
          <w:color w:val="000000" w:themeColor="text1"/>
          <w:sz w:val="22"/>
          <w:szCs w:val="22"/>
        </w:rPr>
      </w:pPr>
    </w:p>
    <w:p w:rsidR="005D6701" w:rsidRDefault="005D6701">
      <w:pPr>
        <w:ind w:firstLine="567"/>
        <w:jc w:val="both"/>
        <w:rPr>
          <w:color w:val="000000" w:themeColor="text1"/>
          <w:sz w:val="22"/>
          <w:szCs w:val="22"/>
        </w:rPr>
      </w:pPr>
    </w:p>
    <w:p w:rsidR="005D6701" w:rsidRDefault="005D6701">
      <w:pPr>
        <w:ind w:firstLine="567"/>
        <w:jc w:val="both"/>
        <w:rPr>
          <w:color w:val="000000" w:themeColor="text1"/>
          <w:sz w:val="22"/>
          <w:szCs w:val="22"/>
        </w:rPr>
      </w:pPr>
    </w:p>
    <w:p w:rsidR="005D6701" w:rsidRDefault="005D6701">
      <w:pPr>
        <w:ind w:firstLine="567"/>
        <w:jc w:val="both"/>
        <w:rPr>
          <w:color w:val="000000" w:themeColor="text1"/>
          <w:sz w:val="22"/>
          <w:szCs w:val="22"/>
        </w:rPr>
      </w:pPr>
    </w:p>
    <w:p w:rsidR="005D6701" w:rsidRDefault="005D6701">
      <w:pPr>
        <w:ind w:firstLine="567"/>
        <w:jc w:val="both"/>
        <w:rPr>
          <w:color w:val="000000" w:themeColor="text1"/>
          <w:sz w:val="22"/>
          <w:szCs w:val="22"/>
        </w:rPr>
      </w:pPr>
    </w:p>
    <w:p w:rsidR="005D6701" w:rsidRDefault="005D6701">
      <w:pPr>
        <w:ind w:firstLine="567"/>
        <w:jc w:val="both"/>
        <w:rPr>
          <w:color w:val="000000" w:themeColor="text1"/>
          <w:sz w:val="22"/>
          <w:szCs w:val="22"/>
        </w:rPr>
      </w:pPr>
    </w:p>
    <w:p w:rsidR="00773E2C" w:rsidRDefault="00805665">
      <w:pPr>
        <w:ind w:firstLine="567"/>
        <w:jc w:val="both"/>
        <w:rPr>
          <w:color w:val="000000" w:themeColor="text1"/>
          <w:sz w:val="22"/>
          <w:szCs w:val="22"/>
        </w:rPr>
      </w:pPr>
      <w:r>
        <w:rPr>
          <w:rFonts w:eastAsia="Calibri"/>
          <w:b/>
          <w:color w:val="000000" w:themeColor="text1"/>
          <w:sz w:val="22"/>
          <w:szCs w:val="22"/>
          <w:lang w:eastAsia="en-US"/>
        </w:rPr>
        <w:lastRenderedPageBreak/>
        <w:t xml:space="preserve">Таблица 4.4.2 </w:t>
      </w:r>
      <w:r>
        <w:rPr>
          <w:b/>
          <w:color w:val="000000" w:themeColor="text1"/>
          <w:sz w:val="22"/>
          <w:szCs w:val="22"/>
        </w:rPr>
        <w:t>Участие членов Комитета по аудиту, рискам и стратегии в заседаниях или заочных голосованиях КАРС</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253"/>
      </w:tblGrid>
      <w:tr w:rsidR="00F76C03" w:rsidRPr="009B2D9C" w:rsidTr="004F50EF">
        <w:tc>
          <w:tcPr>
            <w:tcW w:w="5240" w:type="dxa"/>
            <w:shd w:val="clear" w:color="auto" w:fill="auto"/>
            <w:vAlign w:val="center"/>
          </w:tcPr>
          <w:p w:rsidR="00F76C03" w:rsidRDefault="00F76C03" w:rsidP="004F50EF">
            <w:pPr>
              <w:tabs>
                <w:tab w:val="left" w:pos="567"/>
              </w:tabs>
              <w:jc w:val="center"/>
              <w:rPr>
                <w:rFonts w:eastAsia="Calibri"/>
                <w:b/>
                <w:sz w:val="20"/>
                <w:szCs w:val="20"/>
              </w:rPr>
            </w:pPr>
            <w:r w:rsidRPr="009B2D9C">
              <w:rPr>
                <w:rFonts w:eastAsia="Calibri"/>
                <w:b/>
                <w:sz w:val="20"/>
                <w:szCs w:val="20"/>
              </w:rPr>
              <w:t>Члены Комитета по аудиту, рискам и стратегии</w:t>
            </w:r>
          </w:p>
          <w:p w:rsidR="007D557A" w:rsidRPr="009B2D9C" w:rsidRDefault="007D557A" w:rsidP="007D557A">
            <w:pPr>
              <w:tabs>
                <w:tab w:val="left" w:pos="1260"/>
              </w:tabs>
              <w:jc w:val="both"/>
              <w:rPr>
                <w:rFonts w:eastAsia="Calibri"/>
                <w:b/>
                <w:sz w:val="20"/>
                <w:szCs w:val="20"/>
              </w:rPr>
            </w:pPr>
            <w:r w:rsidRPr="00204754">
              <w:rPr>
                <w:rFonts w:eastAsia="Calibri"/>
                <w:b/>
                <w:i/>
                <w:color w:val="FF0000"/>
                <w:sz w:val="20"/>
                <w:szCs w:val="20"/>
                <w:lang w:eastAsia="en-US"/>
              </w:rPr>
              <w:t>Информация не раскрывается и не предоставляется в соответствии с абзацем 2 пункта 1 Постановления Правительства Российской Федерации от 04.07.2023 № 1102 «Об особенностях раскрытия и (или) предоставления информации, подлежащей раскрытию и (или) предоставлению в соответствии с требованиями Федерального закона «Об акционерных обществах» и Федерального закона «О рынке ценных бумаг».</w:t>
            </w:r>
          </w:p>
        </w:tc>
        <w:tc>
          <w:tcPr>
            <w:tcW w:w="4253" w:type="dxa"/>
            <w:shd w:val="clear" w:color="auto" w:fill="auto"/>
            <w:vAlign w:val="center"/>
          </w:tcPr>
          <w:p w:rsidR="00F76C03" w:rsidRPr="009B2D9C" w:rsidRDefault="00F76C03" w:rsidP="004F50EF">
            <w:pPr>
              <w:tabs>
                <w:tab w:val="left" w:pos="567"/>
              </w:tabs>
              <w:jc w:val="center"/>
              <w:rPr>
                <w:rFonts w:eastAsia="Calibri"/>
                <w:b/>
                <w:sz w:val="20"/>
                <w:szCs w:val="20"/>
              </w:rPr>
            </w:pPr>
            <w:r w:rsidRPr="009B2D9C">
              <w:rPr>
                <w:rFonts w:eastAsia="Calibri"/>
                <w:b/>
                <w:sz w:val="20"/>
                <w:szCs w:val="20"/>
              </w:rPr>
              <w:t>Число заседаний или заочных голосований Комитета по аудиту, рискам и стратегии, в которых принял участие член КАРС из 24 проведенных</w:t>
            </w:r>
          </w:p>
        </w:tc>
      </w:tr>
      <w:tr w:rsidR="00F76C03" w:rsidRPr="009B2D9C" w:rsidTr="004F50EF">
        <w:tc>
          <w:tcPr>
            <w:tcW w:w="5240" w:type="dxa"/>
            <w:tcBorders>
              <w:top w:val="single" w:sz="4" w:space="0" w:color="auto"/>
              <w:left w:val="single" w:sz="4" w:space="0" w:color="auto"/>
              <w:bottom w:val="single" w:sz="4" w:space="0" w:color="auto"/>
              <w:right w:val="single" w:sz="4" w:space="0" w:color="auto"/>
            </w:tcBorders>
            <w:shd w:val="clear" w:color="auto" w:fill="auto"/>
            <w:vAlign w:val="center"/>
          </w:tcPr>
          <w:p w:rsidR="00F76C03" w:rsidRPr="009B2D9C" w:rsidRDefault="00F76C03" w:rsidP="004F50EF">
            <w:pPr>
              <w:tabs>
                <w:tab w:val="left" w:pos="567"/>
              </w:tabs>
              <w:rPr>
                <w:rFonts w:eastAsia="Calibri"/>
                <w:b/>
                <w:sz w:val="20"/>
                <w:szCs w:val="20"/>
              </w:rPr>
            </w:pPr>
            <w:r w:rsidRPr="009F0BF9">
              <w:rPr>
                <w:rFonts w:eastAsia="Calibri"/>
                <w:i/>
                <w:color w:val="FF0000"/>
                <w:sz w:val="20"/>
                <w:szCs w:val="20"/>
              </w:rPr>
              <w:t>______ФИО___________________</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F76C03" w:rsidRPr="009B2D9C" w:rsidRDefault="00F76C03" w:rsidP="004F50EF">
            <w:pPr>
              <w:tabs>
                <w:tab w:val="left" w:pos="567"/>
              </w:tabs>
              <w:jc w:val="center"/>
              <w:rPr>
                <w:b/>
                <w:sz w:val="20"/>
                <w:szCs w:val="20"/>
              </w:rPr>
            </w:pPr>
            <w:r w:rsidRPr="009B2D9C">
              <w:rPr>
                <w:rFonts w:eastAsia="Calibri"/>
                <w:sz w:val="20"/>
                <w:szCs w:val="20"/>
              </w:rPr>
              <w:t>24</w:t>
            </w:r>
          </w:p>
        </w:tc>
      </w:tr>
      <w:tr w:rsidR="00F76C03" w:rsidRPr="009B2D9C" w:rsidTr="004F50EF">
        <w:tc>
          <w:tcPr>
            <w:tcW w:w="5240" w:type="dxa"/>
            <w:tcBorders>
              <w:top w:val="single" w:sz="4" w:space="0" w:color="auto"/>
              <w:left w:val="single" w:sz="4" w:space="0" w:color="auto"/>
              <w:bottom w:val="single" w:sz="4" w:space="0" w:color="auto"/>
              <w:right w:val="single" w:sz="4" w:space="0" w:color="auto"/>
            </w:tcBorders>
            <w:shd w:val="clear" w:color="auto" w:fill="auto"/>
            <w:vAlign w:val="center"/>
          </w:tcPr>
          <w:p w:rsidR="00F76C03" w:rsidRPr="009B2D9C" w:rsidRDefault="00F76C03" w:rsidP="004F50EF">
            <w:pPr>
              <w:rPr>
                <w:rFonts w:eastAsia="Calibri"/>
                <w:bCs/>
                <w:color w:val="FF0000"/>
                <w:sz w:val="20"/>
                <w:szCs w:val="20"/>
              </w:rPr>
            </w:pPr>
            <w:r w:rsidRPr="009F0BF9">
              <w:rPr>
                <w:rFonts w:eastAsia="Calibri"/>
                <w:i/>
                <w:color w:val="FF0000"/>
                <w:sz w:val="20"/>
                <w:szCs w:val="20"/>
              </w:rPr>
              <w:t>______ФИО___________________</w:t>
            </w:r>
            <w:r w:rsidRPr="009B2D9C">
              <w:rPr>
                <w:rFonts w:eastAsia="Calibri"/>
                <w:bCs/>
                <w:color w:val="FF0000"/>
                <w:sz w:val="20"/>
                <w:szCs w:val="20"/>
              </w:rPr>
              <w:t>,</w:t>
            </w:r>
          </w:p>
          <w:p w:rsidR="00F76C03" w:rsidRPr="009B2D9C" w:rsidRDefault="00F76C03" w:rsidP="004F50EF">
            <w:pPr>
              <w:tabs>
                <w:tab w:val="left" w:pos="567"/>
              </w:tabs>
              <w:rPr>
                <w:rFonts w:eastAsia="Calibri"/>
                <w:b/>
                <w:sz w:val="20"/>
                <w:szCs w:val="20"/>
              </w:rPr>
            </w:pPr>
            <w:r w:rsidRPr="009B2D9C">
              <w:rPr>
                <w:rFonts w:eastAsia="Calibri"/>
                <w:b/>
                <w:sz w:val="20"/>
                <w:szCs w:val="20"/>
              </w:rPr>
              <w:t>независимый директор</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F76C03" w:rsidRPr="009B2D9C" w:rsidRDefault="00F76C03" w:rsidP="004F50EF">
            <w:pPr>
              <w:tabs>
                <w:tab w:val="left" w:pos="567"/>
              </w:tabs>
              <w:jc w:val="center"/>
              <w:rPr>
                <w:b/>
                <w:sz w:val="20"/>
                <w:szCs w:val="20"/>
              </w:rPr>
            </w:pPr>
            <w:r w:rsidRPr="009B2D9C">
              <w:rPr>
                <w:rFonts w:eastAsia="Calibri"/>
                <w:sz w:val="20"/>
                <w:szCs w:val="20"/>
              </w:rPr>
              <w:t>22</w:t>
            </w:r>
          </w:p>
        </w:tc>
      </w:tr>
      <w:tr w:rsidR="00F76C03" w:rsidRPr="009B2D9C" w:rsidTr="004F50EF">
        <w:tc>
          <w:tcPr>
            <w:tcW w:w="5240" w:type="dxa"/>
            <w:tcBorders>
              <w:top w:val="single" w:sz="4" w:space="0" w:color="auto"/>
              <w:left w:val="single" w:sz="4" w:space="0" w:color="auto"/>
              <w:bottom w:val="single" w:sz="4" w:space="0" w:color="auto"/>
              <w:right w:val="single" w:sz="4" w:space="0" w:color="auto"/>
            </w:tcBorders>
            <w:shd w:val="clear" w:color="auto" w:fill="auto"/>
            <w:vAlign w:val="center"/>
          </w:tcPr>
          <w:p w:rsidR="00F76C03" w:rsidRPr="009B2D9C" w:rsidRDefault="00F76C03" w:rsidP="004F50EF">
            <w:pPr>
              <w:ind w:right="-245"/>
              <w:rPr>
                <w:rFonts w:eastAsia="Calibri"/>
                <w:bCs/>
                <w:color w:val="FF0000"/>
                <w:sz w:val="20"/>
                <w:szCs w:val="20"/>
              </w:rPr>
            </w:pPr>
            <w:r w:rsidRPr="009F0BF9">
              <w:rPr>
                <w:rFonts w:eastAsia="Calibri"/>
                <w:i/>
                <w:color w:val="FF0000"/>
                <w:sz w:val="20"/>
                <w:szCs w:val="20"/>
              </w:rPr>
              <w:t>______ФИО___________________</w:t>
            </w:r>
            <w:r w:rsidRPr="009B2D9C">
              <w:rPr>
                <w:rFonts w:eastAsia="Calibri"/>
                <w:bCs/>
                <w:color w:val="FF0000"/>
                <w:sz w:val="20"/>
                <w:szCs w:val="20"/>
              </w:rPr>
              <w:t>,</w:t>
            </w:r>
          </w:p>
          <w:p w:rsidR="00F76C03" w:rsidRPr="009B2D9C" w:rsidRDefault="00F76C03" w:rsidP="004F50EF">
            <w:pPr>
              <w:tabs>
                <w:tab w:val="left" w:pos="567"/>
              </w:tabs>
              <w:rPr>
                <w:rFonts w:eastAsia="Calibri"/>
                <w:b/>
                <w:sz w:val="20"/>
                <w:szCs w:val="20"/>
              </w:rPr>
            </w:pPr>
            <w:r w:rsidRPr="009B2D9C">
              <w:rPr>
                <w:rFonts w:eastAsia="Calibri"/>
                <w:b/>
                <w:sz w:val="20"/>
                <w:szCs w:val="20"/>
              </w:rPr>
              <w:t>независимый директор</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F76C03" w:rsidRPr="009B2D9C" w:rsidRDefault="00F76C03" w:rsidP="004F50EF">
            <w:pPr>
              <w:tabs>
                <w:tab w:val="left" w:pos="567"/>
              </w:tabs>
              <w:jc w:val="center"/>
              <w:rPr>
                <w:b/>
                <w:sz w:val="20"/>
                <w:szCs w:val="20"/>
              </w:rPr>
            </w:pPr>
            <w:r w:rsidRPr="009B2D9C">
              <w:rPr>
                <w:rFonts w:eastAsia="Calibri"/>
                <w:sz w:val="20"/>
                <w:szCs w:val="20"/>
              </w:rPr>
              <w:t>24</w:t>
            </w:r>
          </w:p>
        </w:tc>
      </w:tr>
      <w:tr w:rsidR="00F76C03" w:rsidRPr="009B2D9C" w:rsidTr="004F50EF">
        <w:tc>
          <w:tcPr>
            <w:tcW w:w="5240" w:type="dxa"/>
            <w:tcBorders>
              <w:top w:val="single" w:sz="4" w:space="0" w:color="auto"/>
              <w:left w:val="single" w:sz="4" w:space="0" w:color="auto"/>
              <w:bottom w:val="single" w:sz="4" w:space="0" w:color="auto"/>
              <w:right w:val="single" w:sz="4" w:space="0" w:color="auto"/>
            </w:tcBorders>
            <w:shd w:val="clear" w:color="auto" w:fill="auto"/>
            <w:vAlign w:val="center"/>
          </w:tcPr>
          <w:p w:rsidR="00F76C03" w:rsidRPr="009B2D9C" w:rsidRDefault="00F76C03" w:rsidP="004F50EF">
            <w:pPr>
              <w:rPr>
                <w:rFonts w:eastAsia="Calibri"/>
                <w:bCs/>
                <w:color w:val="FF0000"/>
                <w:sz w:val="20"/>
                <w:szCs w:val="20"/>
              </w:rPr>
            </w:pPr>
            <w:r w:rsidRPr="009F0BF9">
              <w:rPr>
                <w:rFonts w:eastAsia="Calibri"/>
                <w:i/>
                <w:color w:val="FF0000"/>
                <w:sz w:val="20"/>
                <w:szCs w:val="20"/>
              </w:rPr>
              <w:t>______ФИО___________________</w:t>
            </w:r>
            <w:r w:rsidRPr="009B2D9C">
              <w:rPr>
                <w:rFonts w:eastAsia="Calibri"/>
                <w:bCs/>
                <w:color w:val="FF0000"/>
                <w:sz w:val="20"/>
                <w:szCs w:val="20"/>
              </w:rPr>
              <w:t>,</w:t>
            </w:r>
          </w:p>
          <w:p w:rsidR="00F76C03" w:rsidRPr="009B2D9C" w:rsidRDefault="00F76C03" w:rsidP="004F50EF">
            <w:pPr>
              <w:tabs>
                <w:tab w:val="left" w:pos="567"/>
              </w:tabs>
              <w:rPr>
                <w:rFonts w:eastAsia="Calibri"/>
                <w:b/>
                <w:sz w:val="20"/>
                <w:szCs w:val="20"/>
              </w:rPr>
            </w:pPr>
            <w:r w:rsidRPr="009B2D9C">
              <w:rPr>
                <w:rFonts w:eastAsia="Calibri"/>
                <w:b/>
                <w:sz w:val="20"/>
                <w:szCs w:val="20"/>
              </w:rPr>
              <w:t>независимый директор</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F76C03" w:rsidRPr="009B2D9C" w:rsidRDefault="00F76C03" w:rsidP="004F50EF">
            <w:pPr>
              <w:tabs>
                <w:tab w:val="left" w:pos="567"/>
              </w:tabs>
              <w:jc w:val="center"/>
              <w:rPr>
                <w:b/>
                <w:sz w:val="20"/>
                <w:szCs w:val="20"/>
              </w:rPr>
            </w:pPr>
            <w:r w:rsidRPr="009B2D9C">
              <w:rPr>
                <w:rFonts w:eastAsia="Calibri"/>
                <w:sz w:val="20"/>
                <w:szCs w:val="20"/>
              </w:rPr>
              <w:t>24</w:t>
            </w:r>
          </w:p>
        </w:tc>
      </w:tr>
    </w:tbl>
    <w:p w:rsidR="00C120C9" w:rsidRDefault="00C120C9">
      <w:pPr>
        <w:ind w:firstLine="567"/>
        <w:jc w:val="both"/>
        <w:rPr>
          <w:color w:val="000000" w:themeColor="text1"/>
          <w:sz w:val="22"/>
          <w:szCs w:val="22"/>
        </w:rPr>
      </w:pPr>
    </w:p>
    <w:p w:rsidR="00773E2C" w:rsidRDefault="00805665">
      <w:pPr>
        <w:ind w:firstLine="567"/>
        <w:jc w:val="both"/>
        <w:rPr>
          <w:b/>
          <w:iCs/>
          <w:color w:val="000000"/>
          <w:sz w:val="22"/>
          <w:szCs w:val="22"/>
        </w:rPr>
      </w:pPr>
      <w:r>
        <w:rPr>
          <w:b/>
          <w:iCs/>
          <w:color w:val="000000"/>
          <w:sz w:val="22"/>
          <w:szCs w:val="22"/>
        </w:rPr>
        <w:t xml:space="preserve">Деятельность Комитета по кадрам, вознаграждениям и корпоративному управлению Наблюдательного совета </w:t>
      </w:r>
    </w:p>
    <w:p w:rsidR="00773E2C" w:rsidRDefault="00773E2C">
      <w:pPr>
        <w:ind w:firstLine="567"/>
        <w:jc w:val="both"/>
        <w:rPr>
          <w:iCs/>
          <w:color w:val="000000"/>
          <w:sz w:val="22"/>
          <w:szCs w:val="22"/>
        </w:rPr>
      </w:pPr>
    </w:p>
    <w:p w:rsidR="00773E2C" w:rsidRDefault="00805665">
      <w:pPr>
        <w:ind w:firstLine="567"/>
        <w:jc w:val="both"/>
        <w:rPr>
          <w:color w:val="000000"/>
          <w:sz w:val="22"/>
          <w:szCs w:val="22"/>
        </w:rPr>
      </w:pPr>
      <w:r>
        <w:rPr>
          <w:color w:val="000000"/>
          <w:sz w:val="22"/>
          <w:szCs w:val="22"/>
        </w:rPr>
        <w:t>В целях содействия Наблюдательному совету в рассмотрении наиболее важных вопросов, связанных с осуществлением кадрового планирования в Банке и Банковской группе, формированием профессионального состава и обеспечением эффективности деятельности Наблюдательного совета, исполнительных органов Банка и участников Банковской группы, организацией и развитием эффективной политики и прозрачной практики вознаграждения членов Наблюдательного совета, исполнительных органов и, в случаях, предусмотренных законодательством Российской Федерации, иных работников Банка, а также с развитием системы и практики корпоративного управления Банка</w:t>
      </w:r>
      <w:r>
        <w:rPr>
          <w:rFonts w:eastAsia="Calibri"/>
          <w:sz w:val="22"/>
          <w:szCs w:val="22"/>
        </w:rPr>
        <w:t xml:space="preserve"> и Банковской группы </w:t>
      </w:r>
      <w:r>
        <w:rPr>
          <w:color w:val="000000"/>
          <w:sz w:val="22"/>
          <w:szCs w:val="22"/>
        </w:rPr>
        <w:t>при Наблюдательном совете создан Комитет по кадрам, вознаграждениям и корпоративному управлению</w:t>
      </w:r>
      <w:r>
        <w:rPr>
          <w:b/>
          <w:i/>
          <w:color w:val="000000"/>
          <w:sz w:val="22"/>
          <w:szCs w:val="22"/>
        </w:rPr>
        <w:t xml:space="preserve"> </w:t>
      </w:r>
      <w:r>
        <w:rPr>
          <w:color w:val="000000"/>
          <w:sz w:val="22"/>
          <w:szCs w:val="22"/>
        </w:rPr>
        <w:t>Наблюдательного совета ПАО «БАНК УРАЛСИБ» (далее - ККВКУ).</w:t>
      </w:r>
    </w:p>
    <w:p w:rsidR="00773E2C" w:rsidRDefault="00805665">
      <w:pPr>
        <w:ind w:firstLine="567"/>
        <w:jc w:val="both"/>
        <w:rPr>
          <w:rFonts w:eastAsia="Calibri"/>
          <w:color w:val="000000" w:themeColor="text1"/>
          <w:sz w:val="22"/>
          <w:szCs w:val="22"/>
        </w:rPr>
      </w:pPr>
      <w:r>
        <w:rPr>
          <w:color w:val="000000"/>
          <w:sz w:val="22"/>
          <w:szCs w:val="22"/>
        </w:rPr>
        <w:t xml:space="preserve">В течение всего отчетного периода с 01.01.2025 по 31.12.2025 года количественный и персональный состав Комитета </w:t>
      </w:r>
      <w:r>
        <w:rPr>
          <w:rFonts w:eastAsia="Calibri"/>
          <w:bCs/>
          <w:sz w:val="22"/>
          <w:szCs w:val="22"/>
        </w:rPr>
        <w:t xml:space="preserve">по кадрам, вознаграждениям и корпоративному управлению </w:t>
      </w:r>
      <w:r>
        <w:rPr>
          <w:color w:val="000000"/>
          <w:sz w:val="22"/>
          <w:szCs w:val="22"/>
        </w:rPr>
        <w:t>не менялся</w:t>
      </w:r>
      <w:r>
        <w:rPr>
          <w:rFonts w:eastAsia="Calibri"/>
          <w:color w:val="000000" w:themeColor="text1"/>
          <w:sz w:val="22"/>
          <w:szCs w:val="22"/>
        </w:rPr>
        <w:t xml:space="preserve"> и состоял из 4 членов, каждый из которых являлся независимым директором.</w:t>
      </w:r>
    </w:p>
    <w:p w:rsidR="00773E2C" w:rsidRDefault="00805665">
      <w:pPr>
        <w:ind w:firstLine="567"/>
        <w:jc w:val="both"/>
        <w:rPr>
          <w:color w:val="000000"/>
          <w:sz w:val="22"/>
          <w:szCs w:val="22"/>
        </w:rPr>
      </w:pPr>
      <w:r>
        <w:rPr>
          <w:color w:val="000000"/>
          <w:sz w:val="22"/>
          <w:szCs w:val="22"/>
        </w:rPr>
        <w:t>В 2025 году действовала редакция Положения о Комитете по кадрам, вознаграждениям и корпоративному управлению Наблюдательного совета Публичного акционерного общества «БАНК УРАЛСИБ», утвержденная Наблюдательным советом 27 октября 2023 года.</w:t>
      </w:r>
    </w:p>
    <w:p w:rsidR="00773E2C" w:rsidRDefault="00805665">
      <w:pPr>
        <w:ind w:firstLine="567"/>
        <w:jc w:val="both"/>
        <w:rPr>
          <w:color w:val="000000"/>
          <w:sz w:val="22"/>
          <w:szCs w:val="22"/>
        </w:rPr>
      </w:pPr>
      <w:r>
        <w:rPr>
          <w:color w:val="000000"/>
          <w:sz w:val="22"/>
          <w:szCs w:val="22"/>
        </w:rPr>
        <w:t>В соответствии с Положением о Комитете по кадрам, вознаграждениям и корпоративному управлению Наблюдательного совета Банка заседания ККВКУ проводятся на регулярной основе, по мере необходимости, но не реже одного раза в квартал. Заседания ККВКУ могут проводиться в форме совместного присутствия членов ККВКУ или в форме заочного голосования.</w:t>
      </w:r>
    </w:p>
    <w:p w:rsidR="00773E2C" w:rsidRDefault="00805665">
      <w:pPr>
        <w:ind w:firstLine="567"/>
        <w:jc w:val="both"/>
        <w:rPr>
          <w:color w:val="000000" w:themeColor="text1"/>
          <w:sz w:val="22"/>
          <w:szCs w:val="22"/>
        </w:rPr>
      </w:pPr>
      <w:r>
        <w:rPr>
          <w:color w:val="000000"/>
          <w:sz w:val="22"/>
          <w:szCs w:val="22"/>
        </w:rPr>
        <w:t xml:space="preserve">В 2025 году было </w:t>
      </w:r>
      <w:r>
        <w:rPr>
          <w:color w:val="000000" w:themeColor="text1"/>
          <w:sz w:val="22"/>
          <w:szCs w:val="22"/>
        </w:rPr>
        <w:t xml:space="preserve">проведено 17 заседаний или заочных голосований </w:t>
      </w:r>
      <w:r>
        <w:rPr>
          <w:color w:val="000000"/>
          <w:sz w:val="22"/>
          <w:szCs w:val="22"/>
        </w:rPr>
        <w:t>ККВКУ, 3 из которых были проведены в форме заседаний, остальные 14 в форме заочных голосований.</w:t>
      </w:r>
    </w:p>
    <w:p w:rsidR="00773E2C" w:rsidRDefault="00805665">
      <w:pPr>
        <w:ind w:firstLine="567"/>
        <w:jc w:val="both"/>
        <w:rPr>
          <w:color w:val="000000" w:themeColor="text1"/>
          <w:sz w:val="22"/>
          <w:szCs w:val="22"/>
        </w:rPr>
      </w:pPr>
      <w:r>
        <w:rPr>
          <w:color w:val="000000" w:themeColor="text1"/>
          <w:sz w:val="22"/>
          <w:szCs w:val="22"/>
        </w:rPr>
        <w:t>На заседаниях Комитета по кадрам, вознаграждениям и корпоративному управлению Наблюдательного совета в 2025 году были рассмотрены, следующие вопрос</w:t>
      </w:r>
      <w:r w:rsidRPr="00EF6557">
        <w:rPr>
          <w:color w:val="000000" w:themeColor="text1"/>
          <w:sz w:val="22"/>
          <w:szCs w:val="22"/>
        </w:rPr>
        <w:t>ы.</w:t>
      </w:r>
    </w:p>
    <w:p w:rsidR="00773E2C" w:rsidRDefault="00773E2C">
      <w:pPr>
        <w:jc w:val="both"/>
        <w:rPr>
          <w:b/>
          <w:iCs/>
          <w:color w:val="000000"/>
          <w:sz w:val="22"/>
          <w:szCs w:val="22"/>
        </w:rPr>
      </w:pPr>
    </w:p>
    <w:p w:rsidR="00773E2C" w:rsidRDefault="00805665">
      <w:pPr>
        <w:ind w:firstLine="567"/>
        <w:jc w:val="both"/>
        <w:rPr>
          <w:b/>
          <w:iCs/>
          <w:color w:val="000000"/>
          <w:sz w:val="22"/>
          <w:szCs w:val="22"/>
        </w:rPr>
      </w:pPr>
      <w:r>
        <w:rPr>
          <w:b/>
          <w:iCs/>
          <w:color w:val="000000"/>
          <w:sz w:val="22"/>
          <w:szCs w:val="22"/>
        </w:rPr>
        <w:t>В части кадрового планирования:</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 Отчет об исполнении Плана мероприятий по совершенствованию работы Наблюдательного совета Банка и его комитетов по результатам самооценки деятельности Наблюдательного совета Банка за 2023 год;</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 Отчет о результатах самооценки деятельности Наблюдательного совета Банка за 2024 год;</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 вопрос об исполнении Программы повышения квалификации членов Наблюдательного совета Банка в 2024 году;</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 вопрос о выработке рекомендации Наблюдательному совету по вопросу выплаты вознаграждения и (или) компенсации расходов членам Наблюдательного совета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рассмотрена Стратегия управления персоналом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 промежуточный отчет о реализации Стратегии управления персоналом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lastRenderedPageBreak/>
        <w:t>рассмотрен План трансформации процессов управления персоналом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 промежуточный отчет о реализации Плана трансформации процессов управления персоналом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рассмотрена новая редакция Положения о проведении оценки эффективности деятельности Наблюдательного совета Банка и его комитетов;</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 вопрос о проведении независимой оценки эффективности деятельности Наблюдательного совета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выработаны рекомендации о досрочном прекращении полномочий Заместителя Председателя Правления, члена Правления Банка, курирующего Блок управления рисками;</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проведена оценка соответствия независимости членов Наблюдательного совета критериям независимости.</w:t>
      </w:r>
    </w:p>
    <w:p w:rsidR="00773E2C" w:rsidRDefault="00805665">
      <w:pPr>
        <w:ind w:firstLine="567"/>
        <w:jc w:val="both"/>
        <w:rPr>
          <w:b/>
          <w:iCs/>
          <w:color w:val="000000"/>
          <w:sz w:val="22"/>
          <w:szCs w:val="22"/>
        </w:rPr>
      </w:pPr>
      <w:r>
        <w:rPr>
          <w:b/>
          <w:iCs/>
          <w:color w:val="000000"/>
          <w:sz w:val="22"/>
          <w:szCs w:val="22"/>
        </w:rPr>
        <w:t>В части корпоративного управления:</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 Отчет об исполнении Плана мероприятий разработки и (или) внесения изменений во внутренние документы Банка по результатам самооценки качества корпоративного управления Банка за 2023 год;</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рассмотрена новая редакция Устава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рассмотрена новая редакция Положения об Общем собрании акционеров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рассмотрена новая редакция Положения о Наблюдательном совете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рассмотрена новая редакция Положения о Правлении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рассмотрена новая редакция Положения о контроле за соответствием квалификационным требованиям и (или) требованиям к деловой репутации членов Наблюдательного совета, руководящих должностных лиц Банка (филиалов), руководителей специальных подразделений, кандидатов на указанные должности, а также собственников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рассмотрена новая редакция Кодекса корпоративного управления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рассмотрена новая редакция Порядка предоставления Банком документов и информации акционерами и иным лицам, осуществляющим права по акциям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рассмотрены результаты самооценки качества корпоративного управления Банка в 2024 году;</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 Годовой отчет Банка за 2024 год.</w:t>
      </w:r>
    </w:p>
    <w:p w:rsidR="00773E2C" w:rsidRDefault="00805665">
      <w:pPr>
        <w:ind w:firstLine="567"/>
        <w:jc w:val="both"/>
        <w:rPr>
          <w:b/>
          <w:iCs/>
          <w:color w:val="000000"/>
          <w:sz w:val="22"/>
          <w:szCs w:val="22"/>
        </w:rPr>
      </w:pPr>
      <w:r>
        <w:rPr>
          <w:b/>
          <w:iCs/>
          <w:color w:val="000000"/>
          <w:sz w:val="22"/>
          <w:szCs w:val="22"/>
        </w:rPr>
        <w:t>В части реализации политики вознаграждения:</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рассмотрена новая редакция Положения об оплате труда работников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рассмотрена новая редакция Положения о материальном стимулировании работников, принимающих риски, работников подразделений, осуществляющих управление рисками, и работников подразделений, осуществляющих внутренний контроль;</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рассмотрено Положение о ежегодном премировании членов Правления и заместителей Председателя Правления Банка (версия 6.1);</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рассмотрено предложение по размеру фонда оплаты труда Банка на 2026 год;</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рассмотрено предложение о величине коэффициента устойчивости;</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рассмотрено предложение о корректирующем коэффициенте ежегодного премирования для Председателя Правления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рассмотрены отчеты об исполнении индивидуальных КПЭ Председателя Правления, членов Правления и Заместителя Председателя Правления за 2024 год;</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рассмотрено предложение о размерах индивидуальных премий членов Правления и Заместителя Председателя Правления по итогам 2024 года, включая суммы из фонда дополнительного ежегодного премирования;</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рассмотрено предложение об индексации отложенных частей премий, подлежащих выплате в 2025 году;</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рассмотрено предложение о размерах отложенных частей премий членов Правления и Заместителя Председателя Правления, подлежащих выплате в 2025 году;</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рассмотрено предложение о выплате крупных вознаграждений работникам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рассмотрено предложение о размере индивидуальной премии руководителю Службы внутреннего аудита по итогам 2024 года;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рассмотрено предложение о размере премиального фонда работников Службы внутреннего аудита по итогам 2024 года;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рассмотрено предложение о размерах разовых премий Председателю Правления и членам Правления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 Отчет о независимой оценке системы оплаты труда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lastRenderedPageBreak/>
        <w:t>рассмотрены предложения о сохранении или пересмотре внутренних документов Банка, устанавливающих порядок определения фиксированной и нефиксированной частей оплаты труда отдельных категорий работников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 Отчет о результатах мониторинга системы оплаты труда Банка за 2024 год;</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рассмотрены предложения о совершенствовании системы оплаты труда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рассмотрена Карта ежегодных ключевых показателей эффективности членов Правления и заместителей Председателя Правления Банка (версия 8.0);</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рассмотрена новая редакция ключевых показателей эффективности руководителя Службы внутреннего аудита Банка (версия 2.2).</w:t>
      </w:r>
    </w:p>
    <w:p w:rsidR="00773E2C" w:rsidRDefault="00805665">
      <w:pPr>
        <w:ind w:firstLine="567"/>
        <w:jc w:val="both"/>
        <w:rPr>
          <w:b/>
          <w:iCs/>
          <w:color w:val="000000"/>
          <w:sz w:val="22"/>
          <w:szCs w:val="22"/>
        </w:rPr>
      </w:pPr>
      <w:r>
        <w:rPr>
          <w:b/>
          <w:iCs/>
          <w:color w:val="000000"/>
          <w:sz w:val="22"/>
          <w:szCs w:val="22"/>
        </w:rPr>
        <w:t>В части кадрового планирования в Банковской группе:</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 xml:space="preserve">рассмотрен Отчет о деятельности Генерального директора ООО «МКК УРАЛСИБ </w:t>
      </w:r>
      <w:proofErr w:type="spellStart"/>
      <w:r>
        <w:rPr>
          <w:color w:val="000000"/>
          <w:sz w:val="22"/>
          <w:szCs w:val="22"/>
        </w:rPr>
        <w:t>Финанс</w:t>
      </w:r>
      <w:proofErr w:type="spellEnd"/>
      <w:r>
        <w:rPr>
          <w:color w:val="000000"/>
          <w:sz w:val="22"/>
          <w:szCs w:val="22"/>
        </w:rPr>
        <w:t>» за 2024 год.</w:t>
      </w:r>
    </w:p>
    <w:p w:rsidR="00773E2C" w:rsidRDefault="00805665">
      <w:pPr>
        <w:ind w:firstLine="567"/>
        <w:jc w:val="both"/>
        <w:rPr>
          <w:b/>
          <w:iCs/>
          <w:color w:val="000000"/>
          <w:sz w:val="22"/>
          <w:szCs w:val="22"/>
        </w:rPr>
      </w:pPr>
      <w:r>
        <w:rPr>
          <w:b/>
          <w:iCs/>
          <w:color w:val="000000"/>
          <w:sz w:val="22"/>
          <w:szCs w:val="22"/>
        </w:rPr>
        <w:t>В части организации работы Комитета по кадрам, вознаграждениям и корпоративному управлению:</w:t>
      </w:r>
    </w:p>
    <w:p w:rsidR="00773E2C" w:rsidRPr="004D32A8" w:rsidRDefault="00805665">
      <w:pPr>
        <w:numPr>
          <w:ilvl w:val="0"/>
          <w:numId w:val="23"/>
        </w:numPr>
        <w:tabs>
          <w:tab w:val="left" w:pos="851"/>
        </w:tabs>
        <w:autoSpaceDE w:val="0"/>
        <w:autoSpaceDN w:val="0"/>
        <w:adjustRightInd w:val="0"/>
        <w:ind w:left="851" w:hanging="284"/>
        <w:jc w:val="both"/>
        <w:rPr>
          <w:color w:val="000000"/>
          <w:sz w:val="22"/>
          <w:szCs w:val="22"/>
        </w:rPr>
      </w:pPr>
      <w:r w:rsidRPr="004D32A8">
        <w:rPr>
          <w:color w:val="000000"/>
          <w:sz w:val="22"/>
          <w:szCs w:val="22"/>
        </w:rPr>
        <w:t>рассмотрен Отчет о деятельности Комитета по кадрам, вознаграждениям и корпоративному управлению Наблюдательного совета за 2024 год;</w:t>
      </w:r>
    </w:p>
    <w:p w:rsidR="00773E2C" w:rsidRPr="004D32A8" w:rsidRDefault="00805665">
      <w:pPr>
        <w:numPr>
          <w:ilvl w:val="0"/>
          <w:numId w:val="23"/>
        </w:numPr>
        <w:tabs>
          <w:tab w:val="left" w:pos="851"/>
        </w:tabs>
        <w:autoSpaceDE w:val="0"/>
        <w:autoSpaceDN w:val="0"/>
        <w:adjustRightInd w:val="0"/>
        <w:ind w:left="851" w:hanging="284"/>
        <w:jc w:val="both"/>
        <w:rPr>
          <w:color w:val="000000"/>
          <w:sz w:val="22"/>
          <w:szCs w:val="22"/>
        </w:rPr>
      </w:pPr>
      <w:r w:rsidRPr="004D32A8">
        <w:rPr>
          <w:color w:val="000000"/>
          <w:sz w:val="22"/>
          <w:szCs w:val="22"/>
        </w:rPr>
        <w:t>утвержден План работы ККВКУ на 2025 год в новой редакции;</w:t>
      </w:r>
    </w:p>
    <w:p w:rsidR="00773E2C" w:rsidRPr="004D32A8" w:rsidRDefault="00805665">
      <w:pPr>
        <w:numPr>
          <w:ilvl w:val="0"/>
          <w:numId w:val="23"/>
        </w:numPr>
        <w:tabs>
          <w:tab w:val="left" w:pos="851"/>
        </w:tabs>
        <w:autoSpaceDE w:val="0"/>
        <w:autoSpaceDN w:val="0"/>
        <w:adjustRightInd w:val="0"/>
        <w:ind w:left="851" w:hanging="284"/>
        <w:jc w:val="both"/>
        <w:rPr>
          <w:color w:val="000000"/>
          <w:sz w:val="22"/>
          <w:szCs w:val="22"/>
        </w:rPr>
      </w:pPr>
      <w:r w:rsidRPr="004D32A8">
        <w:rPr>
          <w:color w:val="000000"/>
          <w:sz w:val="22"/>
          <w:szCs w:val="22"/>
        </w:rPr>
        <w:t>утвержден План работы ККВКУ на 2026 год.</w:t>
      </w:r>
    </w:p>
    <w:p w:rsidR="00773E2C" w:rsidRDefault="00805665">
      <w:pPr>
        <w:ind w:firstLine="567"/>
        <w:jc w:val="both"/>
        <w:rPr>
          <w:color w:val="000000" w:themeColor="text1"/>
          <w:sz w:val="22"/>
          <w:szCs w:val="22"/>
        </w:rPr>
      </w:pPr>
      <w:r w:rsidRPr="004D32A8">
        <w:rPr>
          <w:color w:val="000000" w:themeColor="text1"/>
          <w:sz w:val="22"/>
          <w:szCs w:val="22"/>
        </w:rPr>
        <w:t xml:space="preserve">Кворум для принятия решений ККВКУ составляет не менее половины от числа назначенных членов </w:t>
      </w:r>
      <w:r w:rsidRPr="004D32A8">
        <w:rPr>
          <w:color w:val="000000"/>
          <w:sz w:val="22"/>
          <w:szCs w:val="22"/>
        </w:rPr>
        <w:t>ККВКУ</w:t>
      </w:r>
      <w:r w:rsidRPr="004D32A8">
        <w:rPr>
          <w:color w:val="000000" w:themeColor="text1"/>
          <w:sz w:val="22"/>
          <w:szCs w:val="22"/>
        </w:rPr>
        <w:t xml:space="preserve">. Участие членов ККВКУ в заседании с использованием </w:t>
      </w:r>
      <w:proofErr w:type="spellStart"/>
      <w:r w:rsidRPr="004D32A8">
        <w:rPr>
          <w:color w:val="000000" w:themeColor="text1"/>
          <w:sz w:val="22"/>
          <w:szCs w:val="22"/>
        </w:rPr>
        <w:t>конференц</w:t>
      </w:r>
      <w:proofErr w:type="spellEnd"/>
      <w:r w:rsidRPr="004D32A8">
        <w:rPr>
          <w:color w:val="000000" w:themeColor="text1"/>
          <w:sz w:val="22"/>
          <w:szCs w:val="22"/>
        </w:rPr>
        <w:t xml:space="preserve"> </w:t>
      </w:r>
      <w:r w:rsidR="004D63F2" w:rsidRPr="004D63F2">
        <w:rPr>
          <w:color w:val="000000" w:themeColor="text1"/>
          <w:sz w:val="22"/>
          <w:szCs w:val="22"/>
        </w:rPr>
        <w:t>-</w:t>
      </w:r>
      <w:r w:rsidRPr="004D32A8">
        <w:rPr>
          <w:color w:val="000000" w:themeColor="text1"/>
          <w:sz w:val="22"/>
          <w:szCs w:val="22"/>
        </w:rPr>
        <w:t xml:space="preserve"> и</w:t>
      </w:r>
      <w:r w:rsidR="00D64389" w:rsidRPr="00D64389">
        <w:rPr>
          <w:color w:val="000000" w:themeColor="text1"/>
          <w:sz w:val="22"/>
          <w:szCs w:val="22"/>
        </w:rPr>
        <w:t xml:space="preserve"> </w:t>
      </w:r>
      <w:r w:rsidRPr="004D32A8">
        <w:rPr>
          <w:color w:val="000000" w:themeColor="text1"/>
          <w:sz w:val="22"/>
          <w:szCs w:val="22"/>
        </w:rPr>
        <w:t xml:space="preserve">(или) </w:t>
      </w:r>
      <w:r w:rsidRPr="00D64389">
        <w:rPr>
          <w:color w:val="000000" w:themeColor="text1"/>
          <w:sz w:val="22"/>
          <w:szCs w:val="22"/>
        </w:rPr>
        <w:t>видео</w:t>
      </w:r>
      <w:r w:rsidR="004D63F2" w:rsidRPr="004D63F2">
        <w:rPr>
          <w:color w:val="000000" w:themeColor="text1"/>
          <w:sz w:val="22"/>
          <w:szCs w:val="22"/>
        </w:rPr>
        <w:t xml:space="preserve"> -</w:t>
      </w:r>
      <w:r w:rsidR="009D7DC1" w:rsidRPr="004D63F2">
        <w:rPr>
          <w:color w:val="000000" w:themeColor="text1"/>
          <w:sz w:val="22"/>
          <w:szCs w:val="22"/>
        </w:rPr>
        <w:t xml:space="preserve"> </w:t>
      </w:r>
      <w:proofErr w:type="spellStart"/>
      <w:r w:rsidRPr="00D64389">
        <w:rPr>
          <w:color w:val="000000" w:themeColor="text1"/>
          <w:sz w:val="22"/>
          <w:szCs w:val="22"/>
        </w:rPr>
        <w:t>конференц</w:t>
      </w:r>
      <w:proofErr w:type="spellEnd"/>
      <w:r w:rsidRPr="00D64389">
        <w:rPr>
          <w:color w:val="000000" w:themeColor="text1"/>
          <w:sz w:val="22"/>
          <w:szCs w:val="22"/>
        </w:rPr>
        <w:t xml:space="preserve"> - связи</w:t>
      </w:r>
      <w:r w:rsidRPr="004D32A8">
        <w:rPr>
          <w:color w:val="000000" w:themeColor="text1"/>
          <w:sz w:val="22"/>
          <w:szCs w:val="22"/>
        </w:rPr>
        <w:t xml:space="preserve"> учитывается для определения кворума и результатов голосования. На каждом заседании или заочном голосовании Комитета по кадрам, вознаграждениям и корпоративному управлению, проведенном в 2025 году, был обеспечен кворум для принятия решений по всем вопросам повестки дня. Информация об участии членов Комитета по кадрам, вознаграждениям и корпоративному управлению в его заседаниях или заочных голосованиях приведена в Таблице 4.4.3.</w:t>
      </w:r>
    </w:p>
    <w:p w:rsidR="00773E2C" w:rsidRDefault="00773E2C">
      <w:pPr>
        <w:ind w:firstLine="567"/>
        <w:jc w:val="both"/>
        <w:rPr>
          <w:rFonts w:eastAsia="Calibri"/>
          <w:b/>
          <w:color w:val="000000" w:themeColor="text1"/>
          <w:sz w:val="22"/>
          <w:szCs w:val="22"/>
          <w:lang w:eastAsia="en-US"/>
        </w:rPr>
      </w:pPr>
    </w:p>
    <w:p w:rsidR="00773E2C" w:rsidRPr="003019B7" w:rsidRDefault="00805665">
      <w:pPr>
        <w:ind w:firstLine="567"/>
        <w:jc w:val="both"/>
        <w:rPr>
          <w:b/>
          <w:color w:val="000000" w:themeColor="text1"/>
          <w:sz w:val="22"/>
          <w:szCs w:val="22"/>
        </w:rPr>
      </w:pPr>
      <w:r>
        <w:rPr>
          <w:rFonts w:eastAsia="Calibri"/>
          <w:b/>
          <w:color w:val="000000" w:themeColor="text1"/>
          <w:sz w:val="22"/>
          <w:szCs w:val="22"/>
          <w:lang w:eastAsia="en-US"/>
        </w:rPr>
        <w:t xml:space="preserve">Таблица 4.4.3 </w:t>
      </w:r>
      <w:r>
        <w:rPr>
          <w:b/>
          <w:color w:val="000000" w:themeColor="text1"/>
          <w:sz w:val="22"/>
          <w:szCs w:val="22"/>
        </w:rPr>
        <w:t xml:space="preserve">Участие членов Комитета по кадрам, вознаграждениям и корпоративному управлению в заседаниях или заочных голосованиях </w:t>
      </w:r>
      <w:r w:rsidRPr="003019B7">
        <w:rPr>
          <w:b/>
          <w:color w:val="000000"/>
          <w:sz w:val="22"/>
          <w:szCs w:val="22"/>
        </w:rPr>
        <w:t>ККВКУ</w:t>
      </w:r>
    </w:p>
    <w:p w:rsidR="00F76C03" w:rsidRPr="009B2D9C" w:rsidRDefault="00F76C03" w:rsidP="00F76C03">
      <w:pPr>
        <w:ind w:firstLine="567"/>
        <w:jc w:val="both"/>
        <w:rPr>
          <w:sz w:val="16"/>
          <w:szCs w:val="16"/>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253"/>
      </w:tblGrid>
      <w:tr w:rsidR="00F76C03" w:rsidRPr="009B2D9C" w:rsidTr="004F50EF">
        <w:tc>
          <w:tcPr>
            <w:tcW w:w="5240" w:type="dxa"/>
            <w:shd w:val="clear" w:color="auto" w:fill="auto"/>
            <w:vAlign w:val="center"/>
          </w:tcPr>
          <w:p w:rsidR="00F76C03" w:rsidRDefault="00F76C03" w:rsidP="004F50EF">
            <w:pPr>
              <w:tabs>
                <w:tab w:val="left" w:pos="567"/>
              </w:tabs>
              <w:jc w:val="center"/>
              <w:rPr>
                <w:b/>
                <w:sz w:val="20"/>
                <w:szCs w:val="20"/>
              </w:rPr>
            </w:pPr>
            <w:r w:rsidRPr="009B2D9C">
              <w:rPr>
                <w:b/>
                <w:sz w:val="20"/>
                <w:szCs w:val="20"/>
              </w:rPr>
              <w:t>Члены Комитета по кадрам, вознаграждениям и корпоративному управлению</w:t>
            </w:r>
          </w:p>
          <w:p w:rsidR="00765796" w:rsidRPr="009B2D9C" w:rsidRDefault="00765796" w:rsidP="00765796">
            <w:pPr>
              <w:tabs>
                <w:tab w:val="left" w:pos="1260"/>
              </w:tabs>
              <w:jc w:val="both"/>
              <w:rPr>
                <w:rFonts w:eastAsia="Calibri"/>
                <w:b/>
                <w:sz w:val="20"/>
                <w:szCs w:val="20"/>
              </w:rPr>
            </w:pPr>
            <w:r w:rsidRPr="00204754">
              <w:rPr>
                <w:rFonts w:eastAsia="Calibri"/>
                <w:b/>
                <w:i/>
                <w:color w:val="FF0000"/>
                <w:sz w:val="20"/>
                <w:szCs w:val="20"/>
                <w:lang w:eastAsia="en-US"/>
              </w:rPr>
              <w:t>Информация не раскрывается и не предоставляется в соответствии с абзацем 2 пункта 1 Постановления Правительства Российской Федерации от 04.07.2023 № 1102 «Об особенностях раскрытия и (или) предоставления информации, подлежащей раскрытию и (или) предоставлению в соответствии с требованиями Федерального закона «Об акционерных обществах» и Федерального закона «О рынке ценных бумаг».</w:t>
            </w:r>
          </w:p>
        </w:tc>
        <w:tc>
          <w:tcPr>
            <w:tcW w:w="4253" w:type="dxa"/>
            <w:shd w:val="clear" w:color="auto" w:fill="auto"/>
            <w:vAlign w:val="center"/>
          </w:tcPr>
          <w:p w:rsidR="00F76C03" w:rsidRPr="009B2D9C" w:rsidRDefault="00F76C03" w:rsidP="004F50EF">
            <w:pPr>
              <w:tabs>
                <w:tab w:val="left" w:pos="567"/>
              </w:tabs>
              <w:jc w:val="center"/>
              <w:rPr>
                <w:rFonts w:eastAsia="Calibri"/>
                <w:b/>
                <w:sz w:val="20"/>
                <w:szCs w:val="20"/>
                <w:lang w:eastAsia="en-US"/>
              </w:rPr>
            </w:pPr>
            <w:r w:rsidRPr="009B2D9C">
              <w:rPr>
                <w:rFonts w:eastAsia="Calibri"/>
                <w:b/>
                <w:sz w:val="20"/>
                <w:szCs w:val="20"/>
              </w:rPr>
              <w:t xml:space="preserve">Число заседаний или заочных голосований Комитета </w:t>
            </w:r>
            <w:r w:rsidRPr="009B2D9C">
              <w:rPr>
                <w:b/>
                <w:sz w:val="20"/>
                <w:szCs w:val="20"/>
              </w:rPr>
              <w:t>по кадрам, вознаграждениям и корпоративному управлению</w:t>
            </w:r>
            <w:r w:rsidRPr="009B2D9C">
              <w:rPr>
                <w:rFonts w:eastAsia="Calibri"/>
                <w:b/>
                <w:sz w:val="20"/>
                <w:szCs w:val="20"/>
              </w:rPr>
              <w:t xml:space="preserve">, в которых принял участие член </w:t>
            </w:r>
            <w:r w:rsidRPr="009B2D9C">
              <w:rPr>
                <w:sz w:val="22"/>
                <w:szCs w:val="22"/>
              </w:rPr>
              <w:t>ККВКУ</w:t>
            </w:r>
            <w:r w:rsidRPr="009B2D9C">
              <w:rPr>
                <w:rFonts w:eastAsia="Calibri"/>
                <w:b/>
                <w:sz w:val="20"/>
                <w:szCs w:val="20"/>
              </w:rPr>
              <w:t xml:space="preserve"> из 17 проведенных</w:t>
            </w:r>
          </w:p>
        </w:tc>
      </w:tr>
      <w:tr w:rsidR="00F76C03" w:rsidRPr="009B2D9C" w:rsidTr="004F50EF">
        <w:tc>
          <w:tcPr>
            <w:tcW w:w="5240" w:type="dxa"/>
            <w:tcBorders>
              <w:top w:val="single" w:sz="4" w:space="0" w:color="auto"/>
              <w:left w:val="single" w:sz="4" w:space="0" w:color="auto"/>
              <w:bottom w:val="single" w:sz="4" w:space="0" w:color="auto"/>
              <w:right w:val="single" w:sz="4" w:space="0" w:color="auto"/>
            </w:tcBorders>
            <w:shd w:val="clear" w:color="auto" w:fill="auto"/>
          </w:tcPr>
          <w:p w:rsidR="00F76C03" w:rsidRPr="009B2D9C" w:rsidRDefault="00F76C03" w:rsidP="00F76C03">
            <w:pPr>
              <w:rPr>
                <w:rFonts w:eastAsia="Calibri"/>
                <w:bCs/>
                <w:color w:val="FF0000"/>
                <w:sz w:val="20"/>
                <w:szCs w:val="20"/>
              </w:rPr>
            </w:pPr>
            <w:r w:rsidRPr="009F0BF9">
              <w:rPr>
                <w:rFonts w:eastAsia="Calibri"/>
                <w:i/>
                <w:color w:val="FF0000"/>
                <w:sz w:val="20"/>
                <w:szCs w:val="20"/>
              </w:rPr>
              <w:t>______ФИО___________________</w:t>
            </w:r>
            <w:r w:rsidRPr="009B2D9C">
              <w:rPr>
                <w:rFonts w:eastAsia="Calibri"/>
                <w:bCs/>
                <w:color w:val="FF0000"/>
                <w:sz w:val="20"/>
                <w:szCs w:val="20"/>
              </w:rPr>
              <w:t>,</w:t>
            </w:r>
          </w:p>
          <w:p w:rsidR="00F76C03" w:rsidRPr="009B2D9C" w:rsidRDefault="00F76C03" w:rsidP="004F50EF">
            <w:pPr>
              <w:tabs>
                <w:tab w:val="left" w:pos="567"/>
              </w:tabs>
              <w:rPr>
                <w:rFonts w:eastAsia="Calibri"/>
                <w:b/>
                <w:sz w:val="20"/>
                <w:szCs w:val="20"/>
              </w:rPr>
            </w:pPr>
            <w:r w:rsidRPr="009B2D9C">
              <w:rPr>
                <w:rFonts w:eastAsia="Calibri"/>
                <w:b/>
                <w:sz w:val="20"/>
                <w:szCs w:val="20"/>
              </w:rPr>
              <w:t>старший независимый директор</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F76C03" w:rsidRPr="009B2D9C" w:rsidRDefault="00F76C03" w:rsidP="004F50EF">
            <w:pPr>
              <w:tabs>
                <w:tab w:val="left" w:pos="567"/>
              </w:tabs>
              <w:jc w:val="center"/>
              <w:rPr>
                <w:b/>
                <w:sz w:val="20"/>
                <w:szCs w:val="20"/>
              </w:rPr>
            </w:pPr>
            <w:r w:rsidRPr="009B2D9C">
              <w:rPr>
                <w:rFonts w:eastAsia="Calibri"/>
                <w:sz w:val="20"/>
                <w:szCs w:val="20"/>
              </w:rPr>
              <w:t>17</w:t>
            </w:r>
          </w:p>
        </w:tc>
      </w:tr>
      <w:tr w:rsidR="00F76C03" w:rsidRPr="009B2D9C" w:rsidTr="004F50EF">
        <w:tc>
          <w:tcPr>
            <w:tcW w:w="5240" w:type="dxa"/>
            <w:tcBorders>
              <w:top w:val="single" w:sz="4" w:space="0" w:color="auto"/>
              <w:left w:val="single" w:sz="4" w:space="0" w:color="auto"/>
              <w:bottom w:val="single" w:sz="4" w:space="0" w:color="auto"/>
              <w:right w:val="single" w:sz="4" w:space="0" w:color="auto"/>
            </w:tcBorders>
            <w:shd w:val="clear" w:color="auto" w:fill="auto"/>
          </w:tcPr>
          <w:p w:rsidR="00F76C03" w:rsidRPr="009B2D9C" w:rsidRDefault="00F76C03" w:rsidP="00F76C03">
            <w:pPr>
              <w:rPr>
                <w:rFonts w:eastAsia="Calibri"/>
                <w:bCs/>
                <w:color w:val="FF0000"/>
                <w:sz w:val="20"/>
                <w:szCs w:val="20"/>
              </w:rPr>
            </w:pPr>
            <w:r w:rsidRPr="009F0BF9">
              <w:rPr>
                <w:rFonts w:eastAsia="Calibri"/>
                <w:i/>
                <w:color w:val="FF0000"/>
                <w:sz w:val="20"/>
                <w:szCs w:val="20"/>
              </w:rPr>
              <w:t>______ФИО___________________</w:t>
            </w:r>
            <w:r w:rsidRPr="009B2D9C">
              <w:rPr>
                <w:rFonts w:eastAsia="Calibri"/>
                <w:bCs/>
                <w:color w:val="FF0000"/>
                <w:sz w:val="20"/>
                <w:szCs w:val="20"/>
              </w:rPr>
              <w:t>,</w:t>
            </w:r>
          </w:p>
          <w:p w:rsidR="00F76C03" w:rsidRPr="009B2D9C" w:rsidRDefault="00F76C03" w:rsidP="004F50EF">
            <w:pPr>
              <w:tabs>
                <w:tab w:val="left" w:pos="567"/>
              </w:tabs>
              <w:rPr>
                <w:rFonts w:eastAsia="Calibri"/>
                <w:b/>
                <w:sz w:val="20"/>
                <w:szCs w:val="20"/>
              </w:rPr>
            </w:pPr>
            <w:r w:rsidRPr="009B2D9C">
              <w:rPr>
                <w:rFonts w:eastAsia="Calibri"/>
                <w:b/>
                <w:sz w:val="20"/>
                <w:szCs w:val="20"/>
              </w:rPr>
              <w:t>независимый директор</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F76C03" w:rsidRPr="009B2D9C" w:rsidRDefault="00F76C03" w:rsidP="004F50EF">
            <w:pPr>
              <w:tabs>
                <w:tab w:val="left" w:pos="567"/>
              </w:tabs>
              <w:jc w:val="center"/>
              <w:rPr>
                <w:b/>
                <w:sz w:val="20"/>
                <w:szCs w:val="20"/>
              </w:rPr>
            </w:pPr>
            <w:r w:rsidRPr="009B2D9C">
              <w:rPr>
                <w:rFonts w:eastAsia="Calibri"/>
                <w:sz w:val="20"/>
                <w:szCs w:val="20"/>
              </w:rPr>
              <w:t>17</w:t>
            </w:r>
          </w:p>
        </w:tc>
      </w:tr>
      <w:tr w:rsidR="00F76C03" w:rsidRPr="009B2D9C" w:rsidTr="004F50EF">
        <w:tc>
          <w:tcPr>
            <w:tcW w:w="5240" w:type="dxa"/>
            <w:tcBorders>
              <w:top w:val="single" w:sz="4" w:space="0" w:color="auto"/>
              <w:left w:val="single" w:sz="4" w:space="0" w:color="auto"/>
              <w:bottom w:val="single" w:sz="4" w:space="0" w:color="auto"/>
              <w:right w:val="single" w:sz="4" w:space="0" w:color="auto"/>
            </w:tcBorders>
            <w:shd w:val="clear" w:color="auto" w:fill="auto"/>
          </w:tcPr>
          <w:p w:rsidR="00F76C03" w:rsidRPr="009B2D9C" w:rsidRDefault="00F76C03" w:rsidP="00F76C03">
            <w:pPr>
              <w:rPr>
                <w:rFonts w:eastAsia="Calibri"/>
                <w:bCs/>
                <w:color w:val="FF0000"/>
                <w:sz w:val="20"/>
                <w:szCs w:val="20"/>
              </w:rPr>
            </w:pPr>
            <w:r w:rsidRPr="009F0BF9">
              <w:rPr>
                <w:rFonts w:eastAsia="Calibri"/>
                <w:i/>
                <w:color w:val="FF0000"/>
                <w:sz w:val="20"/>
                <w:szCs w:val="20"/>
              </w:rPr>
              <w:t>______ФИО___________________</w:t>
            </w:r>
            <w:r w:rsidRPr="009B2D9C">
              <w:rPr>
                <w:rFonts w:eastAsia="Calibri"/>
                <w:bCs/>
                <w:color w:val="FF0000"/>
                <w:sz w:val="20"/>
                <w:szCs w:val="20"/>
              </w:rPr>
              <w:t>,</w:t>
            </w:r>
          </w:p>
          <w:p w:rsidR="00F76C03" w:rsidRPr="009B2D9C" w:rsidRDefault="00F76C03" w:rsidP="004F50EF">
            <w:pPr>
              <w:tabs>
                <w:tab w:val="left" w:pos="567"/>
              </w:tabs>
              <w:rPr>
                <w:rFonts w:eastAsia="Calibri"/>
                <w:b/>
                <w:sz w:val="20"/>
                <w:szCs w:val="20"/>
              </w:rPr>
            </w:pPr>
            <w:r w:rsidRPr="009B2D9C">
              <w:rPr>
                <w:rFonts w:eastAsia="Calibri"/>
                <w:b/>
                <w:sz w:val="20"/>
                <w:szCs w:val="20"/>
              </w:rPr>
              <w:t>независимый директор</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F76C03" w:rsidRPr="009B2D9C" w:rsidRDefault="00F76C03" w:rsidP="004F50EF">
            <w:pPr>
              <w:tabs>
                <w:tab w:val="left" w:pos="567"/>
              </w:tabs>
              <w:jc w:val="center"/>
              <w:rPr>
                <w:b/>
                <w:sz w:val="20"/>
                <w:szCs w:val="20"/>
              </w:rPr>
            </w:pPr>
            <w:r w:rsidRPr="009B2D9C">
              <w:rPr>
                <w:rFonts w:eastAsia="Calibri"/>
                <w:sz w:val="20"/>
                <w:szCs w:val="20"/>
              </w:rPr>
              <w:t>17</w:t>
            </w:r>
          </w:p>
        </w:tc>
      </w:tr>
      <w:tr w:rsidR="00F76C03" w:rsidRPr="009B2D9C" w:rsidTr="004F50EF">
        <w:tc>
          <w:tcPr>
            <w:tcW w:w="5240" w:type="dxa"/>
            <w:tcBorders>
              <w:top w:val="single" w:sz="4" w:space="0" w:color="auto"/>
              <w:left w:val="single" w:sz="4" w:space="0" w:color="auto"/>
              <w:bottom w:val="single" w:sz="4" w:space="0" w:color="auto"/>
              <w:right w:val="single" w:sz="4" w:space="0" w:color="auto"/>
            </w:tcBorders>
            <w:shd w:val="clear" w:color="auto" w:fill="auto"/>
          </w:tcPr>
          <w:p w:rsidR="00F76C03" w:rsidRPr="009B2D9C" w:rsidRDefault="00F76C03" w:rsidP="00F76C03">
            <w:pPr>
              <w:rPr>
                <w:rFonts w:eastAsia="Calibri"/>
                <w:bCs/>
                <w:color w:val="FF0000"/>
                <w:sz w:val="20"/>
                <w:szCs w:val="20"/>
              </w:rPr>
            </w:pPr>
            <w:r w:rsidRPr="009F0BF9">
              <w:rPr>
                <w:rFonts w:eastAsia="Calibri"/>
                <w:i/>
                <w:color w:val="FF0000"/>
                <w:sz w:val="20"/>
                <w:szCs w:val="20"/>
              </w:rPr>
              <w:t>______ФИО___________________</w:t>
            </w:r>
            <w:r w:rsidRPr="009B2D9C">
              <w:rPr>
                <w:rFonts w:eastAsia="Calibri"/>
                <w:bCs/>
                <w:color w:val="FF0000"/>
                <w:sz w:val="20"/>
                <w:szCs w:val="20"/>
              </w:rPr>
              <w:t>,</w:t>
            </w:r>
          </w:p>
          <w:p w:rsidR="00F76C03" w:rsidRPr="009B2D9C" w:rsidRDefault="00F76C03" w:rsidP="004F50EF">
            <w:pPr>
              <w:tabs>
                <w:tab w:val="left" w:pos="567"/>
              </w:tabs>
              <w:rPr>
                <w:rFonts w:eastAsia="Calibri"/>
                <w:b/>
                <w:sz w:val="20"/>
                <w:szCs w:val="20"/>
              </w:rPr>
            </w:pPr>
            <w:r w:rsidRPr="009B2D9C">
              <w:rPr>
                <w:rFonts w:eastAsia="Calibri"/>
                <w:b/>
                <w:sz w:val="20"/>
                <w:szCs w:val="20"/>
              </w:rPr>
              <w:t>независимый директор</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F76C03" w:rsidRPr="009B2D9C" w:rsidRDefault="00F76C03" w:rsidP="004F50EF">
            <w:pPr>
              <w:tabs>
                <w:tab w:val="left" w:pos="567"/>
              </w:tabs>
              <w:jc w:val="center"/>
              <w:rPr>
                <w:b/>
                <w:sz w:val="20"/>
                <w:szCs w:val="20"/>
              </w:rPr>
            </w:pPr>
            <w:r w:rsidRPr="009B2D9C">
              <w:rPr>
                <w:rFonts w:eastAsia="Calibri"/>
                <w:sz w:val="20"/>
                <w:szCs w:val="20"/>
              </w:rPr>
              <w:t>17</w:t>
            </w:r>
          </w:p>
        </w:tc>
      </w:tr>
    </w:tbl>
    <w:p w:rsidR="00773E2C" w:rsidRPr="00A420F4" w:rsidRDefault="00773E2C">
      <w:pPr>
        <w:ind w:firstLine="567"/>
        <w:jc w:val="both"/>
        <w:rPr>
          <w:sz w:val="22"/>
          <w:szCs w:val="22"/>
        </w:rPr>
      </w:pPr>
    </w:p>
    <w:p w:rsidR="00773E2C" w:rsidRDefault="00805665">
      <w:pPr>
        <w:ind w:firstLine="567"/>
        <w:jc w:val="both"/>
        <w:rPr>
          <w:b/>
          <w:iCs/>
          <w:color w:val="000000"/>
          <w:sz w:val="22"/>
          <w:szCs w:val="22"/>
        </w:rPr>
      </w:pPr>
      <w:bookmarkStart w:id="21" w:name="_Hlk226646398"/>
      <w:r>
        <w:rPr>
          <w:b/>
          <w:iCs/>
          <w:color w:val="000000"/>
          <w:sz w:val="22"/>
          <w:szCs w:val="22"/>
        </w:rPr>
        <w:t>Иная существенная информация</w:t>
      </w:r>
    </w:p>
    <w:bookmarkEnd w:id="21"/>
    <w:p w:rsidR="00773E2C" w:rsidRPr="00C16D6C" w:rsidRDefault="00773E2C">
      <w:pPr>
        <w:ind w:firstLine="567"/>
        <w:jc w:val="both"/>
        <w:rPr>
          <w:color w:val="000000"/>
          <w:sz w:val="22"/>
          <w:szCs w:val="22"/>
        </w:rPr>
      </w:pPr>
    </w:p>
    <w:p w:rsidR="00773E2C" w:rsidRDefault="00805665">
      <w:pPr>
        <w:ind w:firstLine="567"/>
        <w:jc w:val="both"/>
        <w:rPr>
          <w:color w:val="000000" w:themeColor="text1"/>
          <w:sz w:val="22"/>
          <w:szCs w:val="22"/>
        </w:rPr>
      </w:pPr>
      <w:r>
        <w:rPr>
          <w:color w:val="000000"/>
          <w:sz w:val="22"/>
          <w:szCs w:val="22"/>
        </w:rPr>
        <w:t xml:space="preserve">Следуя рекомендациям Банка России и лучшим практикам корпоративного управления, Наблюдательный совет ежегодно проводит внутреннюю оценку (самооценку) эффективности своей деятельности и деятельности комитетов Наблюдательного </w:t>
      </w:r>
      <w:r>
        <w:rPr>
          <w:color w:val="000000" w:themeColor="text1"/>
          <w:sz w:val="22"/>
          <w:szCs w:val="22"/>
        </w:rPr>
        <w:t>совета, а также внутреннюю оценку (самооценку) эффективности деятельности Председателя Наблюдательного совета. Для проведения внешней (независимой) оценки своей деятельности Наблюдательный совет периодически привлекает независимую экспертную организацию (консультанта).</w:t>
      </w:r>
    </w:p>
    <w:p w:rsidR="00773E2C" w:rsidRDefault="00805665">
      <w:pPr>
        <w:ind w:firstLine="567"/>
        <w:jc w:val="both"/>
        <w:rPr>
          <w:color w:val="000000"/>
          <w:sz w:val="22"/>
          <w:szCs w:val="22"/>
        </w:rPr>
      </w:pPr>
      <w:r>
        <w:rPr>
          <w:color w:val="000000" w:themeColor="text1"/>
          <w:sz w:val="22"/>
          <w:szCs w:val="22"/>
        </w:rPr>
        <w:t xml:space="preserve">Внутренняя оценка (самооценка) эффективности деятельности Наблюдательного совета и деятельности Председателя Наблюдательного совета осуществляется на основании Положения о </w:t>
      </w:r>
      <w:r>
        <w:rPr>
          <w:color w:val="000000" w:themeColor="text1"/>
          <w:sz w:val="22"/>
          <w:szCs w:val="22"/>
        </w:rPr>
        <w:lastRenderedPageBreak/>
        <w:t xml:space="preserve">проведении оценки эффективности деятельности Наблюдательного совета Публичного акционерного общества «БАНК УРАЛСИБ» и его комитетов. </w:t>
      </w:r>
      <w:r>
        <w:rPr>
          <w:color w:val="000000"/>
          <w:sz w:val="22"/>
          <w:szCs w:val="22"/>
        </w:rPr>
        <w:t xml:space="preserve">Координацию проведения внутренней оценки (самооценки) Наблюдательного совета, включая предварительное рассмотрение отчета </w:t>
      </w:r>
      <w:r>
        <w:rPr>
          <w:rFonts w:eastAsia="Calibri"/>
          <w:sz w:val="22"/>
          <w:szCs w:val="22"/>
        </w:rPr>
        <w:t>о результатах внутренней оценки (самооценки) эффективности деятельности Наблюдательного совета,</w:t>
      </w:r>
      <w:r>
        <w:rPr>
          <w:color w:val="000000"/>
          <w:sz w:val="22"/>
          <w:szCs w:val="22"/>
        </w:rPr>
        <w:t xml:space="preserve"> осуществляет Комитет по кадрам, вознаграждениям и корпоративному управлению Наблюдательного совета.</w:t>
      </w:r>
    </w:p>
    <w:p w:rsidR="00773E2C" w:rsidRDefault="00805665">
      <w:pPr>
        <w:tabs>
          <w:tab w:val="left" w:pos="567"/>
        </w:tabs>
        <w:ind w:firstLine="567"/>
        <w:jc w:val="both"/>
        <w:rPr>
          <w:color w:val="000000"/>
          <w:sz w:val="22"/>
          <w:szCs w:val="22"/>
        </w:rPr>
      </w:pPr>
      <w:r>
        <w:rPr>
          <w:sz w:val="22"/>
          <w:szCs w:val="22"/>
          <w:lang w:eastAsia="en-US"/>
        </w:rPr>
        <w:t xml:space="preserve">По результатам рассмотрения </w:t>
      </w:r>
      <w:r w:rsidR="002A0136">
        <w:rPr>
          <w:sz w:val="22"/>
          <w:szCs w:val="22"/>
          <w:lang w:eastAsia="en-US"/>
        </w:rPr>
        <w:t xml:space="preserve">в 2025 году </w:t>
      </w:r>
      <w:r>
        <w:rPr>
          <w:sz w:val="22"/>
          <w:szCs w:val="22"/>
          <w:lang w:eastAsia="en-US"/>
        </w:rPr>
        <w:t xml:space="preserve">Наблюдательным советом </w:t>
      </w:r>
      <w:r>
        <w:rPr>
          <w:sz w:val="22"/>
          <w:szCs w:val="22"/>
        </w:rPr>
        <w:t xml:space="preserve">Отчета о результатах самооценки деятельности Наблюдательного совета ПАО «БАНК УРАЛСИБ» за 2024 год </w:t>
      </w:r>
      <w:r w:rsidR="002A0136">
        <w:rPr>
          <w:sz w:val="22"/>
          <w:szCs w:val="22"/>
        </w:rPr>
        <w:t>(протокол Наблюдательного совета №5 от 31 марта 2025)</w:t>
      </w:r>
      <w:r>
        <w:rPr>
          <w:sz w:val="22"/>
          <w:szCs w:val="22"/>
        </w:rPr>
        <w:t xml:space="preserve"> был подготовлен План мероприятий по совершенствованию работы Наблюдательного совета ПАО «БАНК УРАЛСИБ» и его комитетов, указанные в нем мероприятия исполнены в обозначенные сроки.</w:t>
      </w:r>
    </w:p>
    <w:p w:rsidR="00773E2C" w:rsidRDefault="00805665">
      <w:pPr>
        <w:tabs>
          <w:tab w:val="left" w:pos="567"/>
        </w:tabs>
        <w:ind w:firstLine="567"/>
        <w:jc w:val="both"/>
        <w:rPr>
          <w:sz w:val="22"/>
          <w:szCs w:val="22"/>
          <w:lang w:eastAsia="en-US"/>
        </w:rPr>
      </w:pPr>
      <w:r>
        <w:rPr>
          <w:sz w:val="22"/>
          <w:szCs w:val="22"/>
          <w:lang w:eastAsia="en-US"/>
        </w:rPr>
        <w:t xml:space="preserve">Отчет о результатах внутренней оценки (самооценки) эффективности деятельности Наблюдательного совета ПАО «БАНК УРАЛСИБ» и его комитетов за 2025 год рассмотрен Наблюдательным советом 31 марта 2026 года (протокол № 7). </w:t>
      </w:r>
    </w:p>
    <w:p w:rsidR="00773E2C" w:rsidRDefault="00805665">
      <w:pPr>
        <w:tabs>
          <w:tab w:val="left" w:pos="567"/>
        </w:tabs>
        <w:ind w:firstLine="567"/>
        <w:jc w:val="both"/>
        <w:rPr>
          <w:sz w:val="22"/>
          <w:szCs w:val="22"/>
          <w:lang w:eastAsia="en-US"/>
        </w:rPr>
      </w:pPr>
      <w:r>
        <w:rPr>
          <w:color w:val="000000"/>
          <w:sz w:val="22"/>
          <w:szCs w:val="22"/>
        </w:rPr>
        <w:t>Динамика оценок членов Наблюдательного совета результатов своей деятельности в 2025 году в сравнении с 2024</w:t>
      </w:r>
      <w:r w:rsidR="00C120C9">
        <w:rPr>
          <w:color w:val="000000"/>
          <w:sz w:val="22"/>
          <w:szCs w:val="22"/>
        </w:rPr>
        <w:t xml:space="preserve"> годом</w:t>
      </w:r>
      <w:r>
        <w:rPr>
          <w:color w:val="000000"/>
          <w:sz w:val="22"/>
          <w:szCs w:val="22"/>
        </w:rPr>
        <w:t xml:space="preserve"> изменилась: увеличился средний бал в категории состав и структура Наблюдательного совета (новый состав Наблюдательного совета избран на внеочередном Общем собрании акционеров Банка, состоявшемся 09 декабря 2024 года), а также увеличились средние баллы в категориях: уровень компетенций членов Наблюдательного совета и информационное обеспечение деятельности Наблюдательного совета.</w:t>
      </w:r>
    </w:p>
    <w:p w:rsidR="00773E2C" w:rsidRDefault="00805665">
      <w:pPr>
        <w:ind w:firstLine="567"/>
        <w:jc w:val="both"/>
        <w:rPr>
          <w:color w:val="000000"/>
          <w:sz w:val="22"/>
          <w:szCs w:val="22"/>
        </w:rPr>
      </w:pPr>
      <w:r>
        <w:rPr>
          <w:color w:val="000000"/>
          <w:sz w:val="22"/>
          <w:szCs w:val="22"/>
        </w:rPr>
        <w:t>В ходе внутренней оценки (самооценки) члены Наблюдательного совета высоко оценили уровень организации работы Наблюдательного совета и его комитетов, эффективность взаимодействия Наблюдательного совета и подразделений Банка, выполнение Наблюдательным советом и его комитетами поставленных перед ними задач.</w:t>
      </w:r>
    </w:p>
    <w:p w:rsidR="00773E2C" w:rsidRDefault="00805665">
      <w:pPr>
        <w:ind w:firstLine="567"/>
        <w:jc w:val="both"/>
        <w:rPr>
          <w:sz w:val="22"/>
          <w:szCs w:val="22"/>
        </w:rPr>
      </w:pPr>
      <w:r>
        <w:rPr>
          <w:color w:val="000000" w:themeColor="text1"/>
          <w:sz w:val="22"/>
          <w:szCs w:val="22"/>
        </w:rPr>
        <w:t>По итогам проведенной внутренней оценки (самооценки) можно сделать вывод о том, что количественный и персональный составы Наблюдательного совета и его комитетов, а также профессиональная квалификация, опыт и деловые качества членов Наблюдательного совета отвечают потребностям Банка и дают возможность организовать его деятельность наиболее эффективным образом, включая возможность формирования необходимого количества комитетов Наблюдательного совета.</w:t>
      </w:r>
      <w:r>
        <w:rPr>
          <w:sz w:val="22"/>
          <w:szCs w:val="22"/>
        </w:rPr>
        <w:t xml:space="preserve"> Наблюдательный совет и его комитеты являются эффективными и профессиональными органами Банка.</w:t>
      </w:r>
    </w:p>
    <w:p w:rsidR="00773E2C" w:rsidRDefault="00805665">
      <w:pPr>
        <w:tabs>
          <w:tab w:val="left" w:pos="567"/>
        </w:tabs>
        <w:ind w:firstLine="567"/>
        <w:jc w:val="both"/>
        <w:rPr>
          <w:color w:val="000000"/>
          <w:sz w:val="22"/>
          <w:szCs w:val="22"/>
        </w:rPr>
      </w:pPr>
      <w:r>
        <w:rPr>
          <w:sz w:val="22"/>
          <w:szCs w:val="22"/>
        </w:rPr>
        <w:t xml:space="preserve">Результаты внутренней оценки (самооценки) эффективности деятельности Председателя Наблюдательного совета демонстрируют, что он обеспечивает эффективную организацию работы Наблюдательного совета, которую очень высоко оценили члены Наблюдательного совета. Кроме того, в 2025 году, </w:t>
      </w:r>
      <w:r>
        <w:rPr>
          <w:color w:val="000000"/>
          <w:sz w:val="22"/>
          <w:szCs w:val="22"/>
        </w:rPr>
        <w:t>по сравнению с 2024 годом, увеличился средний бал в категории взаимодействие с акционерами, органами и должностными лицами Банка.</w:t>
      </w:r>
    </w:p>
    <w:p w:rsidR="00773E2C" w:rsidRDefault="00805665">
      <w:pPr>
        <w:ind w:firstLine="567"/>
        <w:jc w:val="both"/>
        <w:rPr>
          <w:color w:val="000000" w:themeColor="text1"/>
          <w:sz w:val="22"/>
          <w:szCs w:val="22"/>
          <w:highlight w:val="yellow"/>
        </w:rPr>
      </w:pPr>
      <w:r>
        <w:rPr>
          <w:color w:val="000000" w:themeColor="text1"/>
          <w:sz w:val="22"/>
          <w:szCs w:val="22"/>
        </w:rPr>
        <w:t xml:space="preserve">По решению Наблюдательного совета от 27 августа 2025 (протокол № 13) была проведена внешняя оценка </w:t>
      </w:r>
      <w:r>
        <w:rPr>
          <w:sz w:val="22"/>
          <w:szCs w:val="22"/>
        </w:rPr>
        <w:t>эффективности деятельности</w:t>
      </w:r>
      <w:r>
        <w:rPr>
          <w:color w:val="000000" w:themeColor="text1"/>
          <w:sz w:val="22"/>
          <w:szCs w:val="22"/>
        </w:rPr>
        <w:t xml:space="preserve"> Наблюдательного совета и его комитетов за 2025 год с привлечением независимого консультанта – </w:t>
      </w:r>
      <w:r>
        <w:rPr>
          <w:sz w:val="22"/>
          <w:szCs w:val="22"/>
        </w:rPr>
        <w:t>ООО «ФБК Консалтинг»</w:t>
      </w:r>
      <w:r>
        <w:rPr>
          <w:color w:val="000000" w:themeColor="text1"/>
          <w:sz w:val="22"/>
          <w:szCs w:val="22"/>
        </w:rPr>
        <w:t xml:space="preserve">, курируемая Комитетом </w:t>
      </w:r>
      <w:r>
        <w:rPr>
          <w:color w:val="000000"/>
          <w:sz w:val="22"/>
          <w:szCs w:val="22"/>
        </w:rPr>
        <w:t>по кадрам, вознаграждениям и корпоративному управлению</w:t>
      </w:r>
      <w:r>
        <w:rPr>
          <w:color w:val="000000" w:themeColor="text1"/>
          <w:sz w:val="22"/>
          <w:szCs w:val="22"/>
        </w:rPr>
        <w:t xml:space="preserve"> Наблюдательного совета.</w:t>
      </w:r>
    </w:p>
    <w:p w:rsidR="00773E2C" w:rsidRDefault="00805665">
      <w:pPr>
        <w:ind w:firstLine="567"/>
        <w:jc w:val="both"/>
        <w:rPr>
          <w:color w:val="000000" w:themeColor="text1"/>
          <w:sz w:val="22"/>
          <w:szCs w:val="22"/>
        </w:rPr>
      </w:pPr>
      <w:r>
        <w:rPr>
          <w:color w:val="000000" w:themeColor="text1"/>
          <w:sz w:val="22"/>
          <w:szCs w:val="22"/>
        </w:rPr>
        <w:t>По итогам внешней оценки деятельность Наблюдательного совета была признана в целом соответствующей требованиям к организации деятельности советов директоров (наблюдательных советов), определенных законодательными актами Российской Федерации и нормативными актами Банка России, и текущим рыночным практикам. В рамках проведения внешней оценки анализировались внутренние документы, регламентирующие деятельность Наблюдательного совета и его комитетов, материалы заседаний, проводилось анкетирование и интервью с членами Наблюдательного совета.</w:t>
      </w:r>
    </w:p>
    <w:p w:rsidR="00773E2C" w:rsidRDefault="00805665">
      <w:pPr>
        <w:ind w:firstLine="567"/>
        <w:jc w:val="both"/>
        <w:rPr>
          <w:color w:val="000000" w:themeColor="text1"/>
          <w:sz w:val="22"/>
          <w:szCs w:val="22"/>
        </w:rPr>
      </w:pPr>
      <w:r>
        <w:rPr>
          <w:color w:val="000000" w:themeColor="text1"/>
          <w:sz w:val="22"/>
          <w:szCs w:val="22"/>
        </w:rPr>
        <w:t xml:space="preserve">Независимая оценка была сосредоточена на ключевых направлениях деятельности Наблюдательного совета и направлена на оценку соответствия работы Наблюдательного совета и его комитетов потребностям Банка, выявление потенциальных областей для совершенствования практик корпоративного управления. Независимым консультантом было высоко оценено взаимодействие Наблюдательного совета с исполнительными органами Банка, вовлеченность членов Наблюдательного совета в деятельность Банка и способность к постоянному самосовершенствованию своей деятельности, деятельность Председателя Наблюдательного совета по организации его работы. Консультантом были разработаны отдельные рекомендации по совершенствованию деятельности Наблюдательного совета и его комитетов, касающиеся, в основном, порядка регламентации и документирования их работы. Кроме того, были предложены рекомендации по совершенствованию </w:t>
      </w:r>
      <w:r>
        <w:rPr>
          <w:color w:val="000000" w:themeColor="text1"/>
          <w:sz w:val="22"/>
          <w:szCs w:val="22"/>
        </w:rPr>
        <w:lastRenderedPageBreak/>
        <w:t>корпоративного управления Банка в целях обеспечения соответствия лучшим практикам и с учетом перспективных направлений развития регулирования.</w:t>
      </w:r>
    </w:p>
    <w:p w:rsidR="00773E2C" w:rsidRDefault="00805665">
      <w:pPr>
        <w:ind w:firstLine="567"/>
        <w:jc w:val="both"/>
        <w:rPr>
          <w:color w:val="000000" w:themeColor="text1"/>
          <w:sz w:val="22"/>
          <w:szCs w:val="22"/>
        </w:rPr>
      </w:pPr>
      <w:r>
        <w:rPr>
          <w:color w:val="000000" w:themeColor="text1"/>
          <w:sz w:val="22"/>
          <w:szCs w:val="22"/>
        </w:rPr>
        <w:t>По итогам внутренней оценки (самооценки) и внешней оценки эффективности деятельности Наблюдательного совета и его комитетов за 2025 год будут разработаны предложения по совершенствованию деятельности Наблюдательного совета ПАО «БАНК УРАЛСИБ» и его комитетов.</w:t>
      </w:r>
    </w:p>
    <w:p w:rsidR="00773E2C" w:rsidRDefault="00773E2C">
      <w:pPr>
        <w:ind w:firstLine="567"/>
        <w:jc w:val="both"/>
        <w:rPr>
          <w:color w:val="000000" w:themeColor="text1"/>
          <w:sz w:val="22"/>
          <w:szCs w:val="22"/>
        </w:rPr>
      </w:pPr>
    </w:p>
    <w:p w:rsidR="00773E2C" w:rsidRDefault="00805665">
      <w:pPr>
        <w:keepNext/>
        <w:ind w:firstLine="567"/>
        <w:jc w:val="both"/>
        <w:outlineLvl w:val="1"/>
        <w:rPr>
          <w:b/>
          <w:bCs/>
          <w:sz w:val="22"/>
          <w:szCs w:val="22"/>
        </w:rPr>
      </w:pPr>
      <w:bookmarkStart w:id="22" w:name="_Toc229052194"/>
      <w:r>
        <w:rPr>
          <w:b/>
          <w:bCs/>
          <w:sz w:val="22"/>
          <w:szCs w:val="22"/>
        </w:rPr>
        <w:t>4.5</w:t>
      </w:r>
      <w:r w:rsidR="009B7C78">
        <w:rPr>
          <w:b/>
          <w:bCs/>
          <w:sz w:val="22"/>
          <w:szCs w:val="22"/>
        </w:rPr>
        <w:t>.</w:t>
      </w:r>
      <w:r>
        <w:rPr>
          <w:b/>
          <w:bCs/>
          <w:sz w:val="22"/>
          <w:szCs w:val="22"/>
        </w:rPr>
        <w:t> Исполнительны</w:t>
      </w:r>
      <w:r w:rsidR="00BC2752">
        <w:rPr>
          <w:b/>
          <w:bCs/>
          <w:sz w:val="22"/>
          <w:szCs w:val="22"/>
        </w:rPr>
        <w:t>е</w:t>
      </w:r>
      <w:r>
        <w:rPr>
          <w:b/>
          <w:bCs/>
          <w:sz w:val="22"/>
          <w:szCs w:val="22"/>
        </w:rPr>
        <w:t xml:space="preserve"> орган</w:t>
      </w:r>
      <w:r w:rsidR="00BC2752">
        <w:rPr>
          <w:b/>
          <w:bCs/>
          <w:sz w:val="22"/>
          <w:szCs w:val="22"/>
        </w:rPr>
        <w:t>ы</w:t>
      </w:r>
      <w:bookmarkEnd w:id="22"/>
    </w:p>
    <w:p w:rsidR="00773E2C" w:rsidRDefault="00773E2C">
      <w:pPr>
        <w:ind w:firstLine="567"/>
        <w:jc w:val="both"/>
        <w:rPr>
          <w:color w:val="000000"/>
          <w:sz w:val="22"/>
          <w:szCs w:val="22"/>
        </w:rPr>
      </w:pPr>
    </w:p>
    <w:p w:rsidR="00773E2C" w:rsidRDefault="00805665">
      <w:pPr>
        <w:ind w:firstLine="567"/>
        <w:jc w:val="both"/>
        <w:rPr>
          <w:color w:val="000000"/>
          <w:sz w:val="22"/>
          <w:szCs w:val="22"/>
        </w:rPr>
      </w:pPr>
      <w:r>
        <w:rPr>
          <w:color w:val="000000"/>
          <w:sz w:val="22"/>
          <w:szCs w:val="22"/>
        </w:rPr>
        <w:t>Руководство текущей деятельностью Банка осуществляется единоличным исполнительным органом Банка - Председателем Правления Банка и коллегиальным исполнительным органом Банка - Правлением Банка. Правление Банка возглавляется Председателем Правления Банка.</w:t>
      </w:r>
    </w:p>
    <w:p w:rsidR="00773E2C" w:rsidRDefault="00805665">
      <w:pPr>
        <w:ind w:firstLine="567"/>
        <w:jc w:val="both"/>
        <w:rPr>
          <w:color w:val="000000"/>
          <w:sz w:val="22"/>
          <w:szCs w:val="22"/>
        </w:rPr>
      </w:pPr>
      <w:r>
        <w:rPr>
          <w:color w:val="000000"/>
          <w:sz w:val="22"/>
          <w:szCs w:val="22"/>
        </w:rPr>
        <w:t>Исполнительные органы Банка решают все вопросы текущей деятельности Банка, за исключением вопросов, отнесенных к компетенции Общего собрания акционеров и Наблюдательного совета, организуют выполнение решений Общего собрания акционеров и Наблюдательного совета. Исполнительные органы Банка подотчетны Наблюдательному совету и Общему собранию акционеров.</w:t>
      </w:r>
    </w:p>
    <w:p w:rsidR="00773E2C" w:rsidRDefault="00805665">
      <w:pPr>
        <w:ind w:firstLine="567"/>
        <w:jc w:val="both"/>
        <w:rPr>
          <w:color w:val="000000"/>
          <w:sz w:val="22"/>
          <w:szCs w:val="22"/>
        </w:rPr>
      </w:pPr>
      <w:r>
        <w:rPr>
          <w:color w:val="000000"/>
          <w:sz w:val="22"/>
          <w:szCs w:val="22"/>
        </w:rPr>
        <w:t>В 2025 году в состав Правления Банка до 30 декабря 2025 года входило шесть членов, а с 30</w:t>
      </w:r>
      <w:r w:rsidR="00C120C9">
        <w:rPr>
          <w:color w:val="000000"/>
          <w:sz w:val="22"/>
          <w:szCs w:val="22"/>
        </w:rPr>
        <w:t> </w:t>
      </w:r>
      <w:r>
        <w:rPr>
          <w:color w:val="000000"/>
          <w:sz w:val="22"/>
          <w:szCs w:val="22"/>
        </w:rPr>
        <w:t>декабря 2025 года – пять.</w:t>
      </w:r>
    </w:p>
    <w:p w:rsidR="00773E2C" w:rsidRDefault="00773E2C">
      <w:pPr>
        <w:ind w:firstLine="567"/>
        <w:jc w:val="both"/>
        <w:rPr>
          <w:color w:val="000000"/>
          <w:sz w:val="22"/>
          <w:szCs w:val="22"/>
        </w:rPr>
      </w:pPr>
    </w:p>
    <w:p w:rsidR="00773E2C" w:rsidRDefault="00805665">
      <w:pPr>
        <w:ind w:firstLine="567"/>
        <w:jc w:val="both"/>
        <w:rPr>
          <w:b/>
          <w:color w:val="000000"/>
          <w:sz w:val="22"/>
          <w:szCs w:val="22"/>
        </w:rPr>
      </w:pPr>
      <w:r>
        <w:rPr>
          <w:b/>
          <w:color w:val="000000"/>
          <w:sz w:val="22"/>
          <w:szCs w:val="22"/>
        </w:rPr>
        <w:t>Информация о работе Правления Банка в 2025 году.</w:t>
      </w:r>
    </w:p>
    <w:p w:rsidR="00773E2C" w:rsidRDefault="00773E2C">
      <w:pPr>
        <w:tabs>
          <w:tab w:val="left" w:pos="1260"/>
        </w:tabs>
        <w:ind w:firstLine="567"/>
        <w:jc w:val="both"/>
        <w:rPr>
          <w:sz w:val="22"/>
          <w:szCs w:val="22"/>
        </w:rPr>
      </w:pPr>
    </w:p>
    <w:p w:rsidR="00773E2C" w:rsidRDefault="00805665">
      <w:pPr>
        <w:tabs>
          <w:tab w:val="left" w:pos="1260"/>
        </w:tabs>
        <w:ind w:firstLine="567"/>
        <w:jc w:val="both"/>
        <w:rPr>
          <w:sz w:val="22"/>
          <w:szCs w:val="22"/>
        </w:rPr>
      </w:pPr>
      <w:r>
        <w:rPr>
          <w:sz w:val="22"/>
          <w:szCs w:val="22"/>
        </w:rPr>
        <w:t>В 2025 году состоялось 68 заседаний Правления Банка, на которых рассматривались вопросы по следующим направлениям:</w:t>
      </w:r>
    </w:p>
    <w:p w:rsidR="00773E2C" w:rsidRDefault="00805665">
      <w:pPr>
        <w:numPr>
          <w:ilvl w:val="0"/>
          <w:numId w:val="28"/>
        </w:numPr>
        <w:tabs>
          <w:tab w:val="left" w:pos="851"/>
        </w:tabs>
        <w:autoSpaceDE w:val="0"/>
        <w:autoSpaceDN w:val="0"/>
        <w:adjustRightInd w:val="0"/>
        <w:ind w:left="851" w:hanging="284"/>
        <w:jc w:val="both"/>
        <w:rPr>
          <w:sz w:val="22"/>
          <w:szCs w:val="22"/>
        </w:rPr>
      </w:pPr>
      <w:r>
        <w:rPr>
          <w:sz w:val="22"/>
          <w:szCs w:val="22"/>
        </w:rPr>
        <w:t>стратегическое и бизнес-планирование;</w:t>
      </w:r>
    </w:p>
    <w:p w:rsidR="00773E2C" w:rsidRDefault="00805665">
      <w:pPr>
        <w:numPr>
          <w:ilvl w:val="0"/>
          <w:numId w:val="28"/>
        </w:numPr>
        <w:tabs>
          <w:tab w:val="left" w:pos="851"/>
        </w:tabs>
        <w:autoSpaceDE w:val="0"/>
        <w:autoSpaceDN w:val="0"/>
        <w:adjustRightInd w:val="0"/>
        <w:ind w:left="851" w:hanging="284"/>
        <w:jc w:val="both"/>
        <w:rPr>
          <w:sz w:val="22"/>
          <w:szCs w:val="22"/>
        </w:rPr>
      </w:pPr>
      <w:r>
        <w:rPr>
          <w:sz w:val="22"/>
          <w:szCs w:val="22"/>
        </w:rPr>
        <w:t>финансовая отчетность Банка;</w:t>
      </w:r>
    </w:p>
    <w:p w:rsidR="00773E2C" w:rsidRDefault="00805665">
      <w:pPr>
        <w:numPr>
          <w:ilvl w:val="0"/>
          <w:numId w:val="28"/>
        </w:numPr>
        <w:tabs>
          <w:tab w:val="left" w:pos="851"/>
        </w:tabs>
        <w:autoSpaceDE w:val="0"/>
        <w:autoSpaceDN w:val="0"/>
        <w:adjustRightInd w:val="0"/>
        <w:ind w:left="851" w:hanging="284"/>
        <w:jc w:val="both"/>
        <w:rPr>
          <w:sz w:val="22"/>
          <w:szCs w:val="22"/>
        </w:rPr>
      </w:pPr>
      <w:r>
        <w:rPr>
          <w:sz w:val="22"/>
          <w:szCs w:val="22"/>
        </w:rPr>
        <w:t>утверждение и актуализация внутренних нормативных документов Банка;</w:t>
      </w:r>
    </w:p>
    <w:p w:rsidR="00773E2C" w:rsidRDefault="00805665">
      <w:pPr>
        <w:numPr>
          <w:ilvl w:val="0"/>
          <w:numId w:val="28"/>
        </w:numPr>
        <w:tabs>
          <w:tab w:val="left" w:pos="851"/>
        </w:tabs>
        <w:autoSpaceDE w:val="0"/>
        <w:autoSpaceDN w:val="0"/>
        <w:adjustRightInd w:val="0"/>
        <w:ind w:left="851" w:hanging="284"/>
        <w:jc w:val="both"/>
        <w:rPr>
          <w:sz w:val="22"/>
          <w:szCs w:val="22"/>
        </w:rPr>
      </w:pPr>
      <w:r>
        <w:rPr>
          <w:sz w:val="22"/>
          <w:szCs w:val="22"/>
        </w:rPr>
        <w:t>деятельность коллегиальных органов Банка, в том числе отчеты о проделанной работе, создание новых Комитетов, актуализация составов и документов, регламентирующих деятельность коллегиальных органов, утверждение сотрудникам Банка полномочий на принятие решений;</w:t>
      </w:r>
    </w:p>
    <w:p w:rsidR="00773E2C" w:rsidRDefault="00805665">
      <w:pPr>
        <w:numPr>
          <w:ilvl w:val="0"/>
          <w:numId w:val="28"/>
        </w:numPr>
        <w:tabs>
          <w:tab w:val="left" w:pos="851"/>
        </w:tabs>
        <w:autoSpaceDE w:val="0"/>
        <w:autoSpaceDN w:val="0"/>
        <w:adjustRightInd w:val="0"/>
        <w:ind w:left="851" w:hanging="284"/>
        <w:jc w:val="both"/>
        <w:rPr>
          <w:sz w:val="22"/>
          <w:szCs w:val="22"/>
        </w:rPr>
      </w:pPr>
      <w:r>
        <w:rPr>
          <w:sz w:val="22"/>
          <w:szCs w:val="22"/>
        </w:rPr>
        <w:t>деятельность внутренних структурных подразделений Банка, в том числе отчеты о проделанной работе и отчеты о выполнении планов проверок;</w:t>
      </w:r>
    </w:p>
    <w:p w:rsidR="00773E2C" w:rsidRDefault="00805665">
      <w:pPr>
        <w:numPr>
          <w:ilvl w:val="0"/>
          <w:numId w:val="28"/>
        </w:numPr>
        <w:tabs>
          <w:tab w:val="left" w:pos="851"/>
        </w:tabs>
        <w:autoSpaceDE w:val="0"/>
        <w:autoSpaceDN w:val="0"/>
        <w:adjustRightInd w:val="0"/>
        <w:ind w:left="851" w:hanging="284"/>
        <w:jc w:val="both"/>
        <w:rPr>
          <w:sz w:val="22"/>
          <w:szCs w:val="22"/>
        </w:rPr>
      </w:pPr>
      <w:r>
        <w:rPr>
          <w:sz w:val="22"/>
          <w:szCs w:val="22"/>
        </w:rPr>
        <w:t>управление персоналом, организация «Гибкого офиса» в г. Москва и г. Краснодар, программа ДМС для сотрудников, мотивация, в том числе бюджет ФОТ, предложения по изменению условий предоставления материальной помощи работникам Банка, утверждение целевых значений ключевых показателей эффективности;</w:t>
      </w:r>
    </w:p>
    <w:p w:rsidR="00773E2C" w:rsidRDefault="00805665">
      <w:pPr>
        <w:numPr>
          <w:ilvl w:val="0"/>
          <w:numId w:val="28"/>
        </w:numPr>
        <w:tabs>
          <w:tab w:val="left" w:pos="851"/>
        </w:tabs>
        <w:autoSpaceDE w:val="0"/>
        <w:autoSpaceDN w:val="0"/>
        <w:adjustRightInd w:val="0"/>
        <w:ind w:left="851" w:hanging="284"/>
        <w:jc w:val="both"/>
        <w:rPr>
          <w:sz w:val="22"/>
          <w:szCs w:val="22"/>
        </w:rPr>
      </w:pPr>
      <w:r>
        <w:rPr>
          <w:sz w:val="22"/>
          <w:szCs w:val="22"/>
        </w:rPr>
        <w:t>утверждение новых редакций Инвестиционной декларации Торгового портфеля облигаций и одобрение Программы облигаций Банка;</w:t>
      </w:r>
    </w:p>
    <w:p w:rsidR="00773E2C" w:rsidRDefault="00805665">
      <w:pPr>
        <w:numPr>
          <w:ilvl w:val="0"/>
          <w:numId w:val="28"/>
        </w:numPr>
        <w:tabs>
          <w:tab w:val="left" w:pos="851"/>
        </w:tabs>
        <w:autoSpaceDE w:val="0"/>
        <w:autoSpaceDN w:val="0"/>
        <w:adjustRightInd w:val="0"/>
        <w:ind w:left="851" w:hanging="284"/>
        <w:jc w:val="both"/>
        <w:rPr>
          <w:sz w:val="22"/>
          <w:szCs w:val="22"/>
        </w:rPr>
      </w:pPr>
      <w:r>
        <w:rPr>
          <w:sz w:val="22"/>
          <w:szCs w:val="22"/>
        </w:rPr>
        <w:t>обязательная отчетность Службы риск-менеджмента;</w:t>
      </w:r>
    </w:p>
    <w:p w:rsidR="00773E2C" w:rsidRDefault="00805665">
      <w:pPr>
        <w:numPr>
          <w:ilvl w:val="0"/>
          <w:numId w:val="28"/>
        </w:numPr>
        <w:tabs>
          <w:tab w:val="left" w:pos="851"/>
        </w:tabs>
        <w:autoSpaceDE w:val="0"/>
        <w:autoSpaceDN w:val="0"/>
        <w:adjustRightInd w:val="0"/>
        <w:ind w:left="851" w:hanging="284"/>
        <w:jc w:val="both"/>
        <w:rPr>
          <w:sz w:val="22"/>
          <w:szCs w:val="22"/>
        </w:rPr>
      </w:pPr>
      <w:r>
        <w:rPr>
          <w:sz w:val="22"/>
          <w:szCs w:val="22"/>
        </w:rPr>
        <w:t>предоставление, изменение и пролонгация кредитных лимитов, утверждение структуры лимитов, установление совокупных лимитов на контрагентов, предоставление банковских гарантий, реструктуризация задолженности;</w:t>
      </w:r>
    </w:p>
    <w:p w:rsidR="00773E2C" w:rsidRDefault="00805665">
      <w:pPr>
        <w:numPr>
          <w:ilvl w:val="0"/>
          <w:numId w:val="28"/>
        </w:numPr>
        <w:tabs>
          <w:tab w:val="left" w:pos="851"/>
        </w:tabs>
        <w:autoSpaceDE w:val="0"/>
        <w:autoSpaceDN w:val="0"/>
        <w:adjustRightInd w:val="0"/>
        <w:ind w:left="851" w:hanging="284"/>
        <w:jc w:val="both"/>
        <w:rPr>
          <w:sz w:val="22"/>
          <w:szCs w:val="22"/>
        </w:rPr>
      </w:pPr>
      <w:r>
        <w:rPr>
          <w:sz w:val="22"/>
          <w:szCs w:val="22"/>
        </w:rPr>
        <w:t>внесение изменений в стратегию потребительского кредитования;</w:t>
      </w:r>
    </w:p>
    <w:p w:rsidR="00773E2C" w:rsidRDefault="00805665">
      <w:pPr>
        <w:numPr>
          <w:ilvl w:val="0"/>
          <w:numId w:val="28"/>
        </w:numPr>
        <w:tabs>
          <w:tab w:val="left" w:pos="851"/>
        </w:tabs>
        <w:autoSpaceDE w:val="0"/>
        <w:autoSpaceDN w:val="0"/>
        <w:adjustRightInd w:val="0"/>
        <w:ind w:left="851" w:hanging="284"/>
        <w:jc w:val="both"/>
        <w:rPr>
          <w:sz w:val="22"/>
          <w:szCs w:val="22"/>
        </w:rPr>
      </w:pPr>
      <w:r>
        <w:rPr>
          <w:sz w:val="22"/>
          <w:szCs w:val="22"/>
        </w:rPr>
        <w:t xml:space="preserve">продление временных мер по учету внешних рейтингов при </w:t>
      </w:r>
      <w:proofErr w:type="spellStart"/>
      <w:r>
        <w:rPr>
          <w:sz w:val="22"/>
          <w:szCs w:val="22"/>
        </w:rPr>
        <w:t>рейтинговании</w:t>
      </w:r>
      <w:proofErr w:type="spellEnd"/>
      <w:r>
        <w:rPr>
          <w:sz w:val="22"/>
          <w:szCs w:val="22"/>
        </w:rPr>
        <w:t xml:space="preserve"> клиентов корпоративного бизнеса и контрагентов Банка;</w:t>
      </w:r>
    </w:p>
    <w:p w:rsidR="00773E2C" w:rsidRDefault="00805665">
      <w:pPr>
        <w:numPr>
          <w:ilvl w:val="0"/>
          <w:numId w:val="28"/>
        </w:numPr>
        <w:tabs>
          <w:tab w:val="left" w:pos="851"/>
        </w:tabs>
        <w:autoSpaceDE w:val="0"/>
        <w:autoSpaceDN w:val="0"/>
        <w:adjustRightInd w:val="0"/>
        <w:ind w:left="851" w:hanging="284"/>
        <w:jc w:val="both"/>
        <w:rPr>
          <w:sz w:val="22"/>
          <w:szCs w:val="22"/>
        </w:rPr>
      </w:pPr>
      <w:r>
        <w:rPr>
          <w:sz w:val="22"/>
          <w:szCs w:val="22"/>
        </w:rPr>
        <w:t>уточнение классификации ссуд или отсутствия по ссудам индивидуальных признаков обесценения в соответствии с требованиями Банка России и внутренних нормативных документов;</w:t>
      </w:r>
    </w:p>
    <w:p w:rsidR="00773E2C" w:rsidRDefault="00805665">
      <w:pPr>
        <w:numPr>
          <w:ilvl w:val="0"/>
          <w:numId w:val="28"/>
        </w:numPr>
        <w:tabs>
          <w:tab w:val="left" w:pos="851"/>
        </w:tabs>
        <w:autoSpaceDE w:val="0"/>
        <w:autoSpaceDN w:val="0"/>
        <w:adjustRightInd w:val="0"/>
        <w:ind w:left="851" w:hanging="284"/>
        <w:jc w:val="both"/>
        <w:rPr>
          <w:sz w:val="22"/>
          <w:szCs w:val="22"/>
        </w:rPr>
      </w:pPr>
      <w:r>
        <w:rPr>
          <w:sz w:val="22"/>
          <w:szCs w:val="22"/>
        </w:rPr>
        <w:t>проведение цессии проблемных активов Розничного Бизнеса;</w:t>
      </w:r>
    </w:p>
    <w:p w:rsidR="00773E2C" w:rsidRDefault="00805665">
      <w:pPr>
        <w:numPr>
          <w:ilvl w:val="0"/>
          <w:numId w:val="28"/>
        </w:numPr>
        <w:tabs>
          <w:tab w:val="left" w:pos="851"/>
        </w:tabs>
        <w:autoSpaceDE w:val="0"/>
        <w:autoSpaceDN w:val="0"/>
        <w:adjustRightInd w:val="0"/>
        <w:ind w:left="851" w:hanging="284"/>
        <w:jc w:val="both"/>
        <w:rPr>
          <w:sz w:val="22"/>
          <w:szCs w:val="22"/>
        </w:rPr>
      </w:pPr>
      <w:r>
        <w:rPr>
          <w:sz w:val="22"/>
          <w:szCs w:val="22"/>
        </w:rPr>
        <w:t>списание безнадежной дебиторской задолженности;</w:t>
      </w:r>
    </w:p>
    <w:p w:rsidR="00773E2C" w:rsidRDefault="00805665">
      <w:pPr>
        <w:numPr>
          <w:ilvl w:val="0"/>
          <w:numId w:val="28"/>
        </w:numPr>
        <w:tabs>
          <w:tab w:val="left" w:pos="851"/>
        </w:tabs>
        <w:autoSpaceDE w:val="0"/>
        <w:autoSpaceDN w:val="0"/>
        <w:adjustRightInd w:val="0"/>
        <w:ind w:left="851" w:hanging="284"/>
        <w:jc w:val="both"/>
        <w:rPr>
          <w:sz w:val="22"/>
          <w:szCs w:val="22"/>
        </w:rPr>
      </w:pPr>
      <w:r>
        <w:rPr>
          <w:sz w:val="22"/>
          <w:szCs w:val="22"/>
        </w:rPr>
        <w:t>консолидированная инвестиционная программа: утверждение перечней проектов, открытие, закрытие и актуализация параметров проектов, отчеты об их реализации;</w:t>
      </w:r>
    </w:p>
    <w:p w:rsidR="00773E2C" w:rsidRDefault="00805665">
      <w:pPr>
        <w:numPr>
          <w:ilvl w:val="0"/>
          <w:numId w:val="28"/>
        </w:numPr>
        <w:tabs>
          <w:tab w:val="left" w:pos="851"/>
        </w:tabs>
        <w:autoSpaceDE w:val="0"/>
        <w:autoSpaceDN w:val="0"/>
        <w:adjustRightInd w:val="0"/>
        <w:ind w:left="851" w:hanging="284"/>
        <w:jc w:val="both"/>
        <w:rPr>
          <w:sz w:val="22"/>
          <w:szCs w:val="22"/>
        </w:rPr>
      </w:pPr>
      <w:r>
        <w:rPr>
          <w:sz w:val="22"/>
          <w:szCs w:val="22"/>
        </w:rPr>
        <w:t>потребности в модернизации ИТ-инфраструктуры, рассмотрение отчетов по управлению операционной надежностью, по инцидентам операционной надежности и предложений по значениям целевых показателей операционной надежности технологических процессов.</w:t>
      </w:r>
    </w:p>
    <w:p w:rsidR="00773E2C" w:rsidRDefault="00773E2C">
      <w:pPr>
        <w:tabs>
          <w:tab w:val="left" w:pos="1260"/>
        </w:tabs>
        <w:ind w:firstLine="567"/>
        <w:jc w:val="both"/>
        <w:rPr>
          <w:sz w:val="22"/>
          <w:szCs w:val="22"/>
          <w:highlight w:val="cyan"/>
        </w:rPr>
      </w:pPr>
    </w:p>
    <w:p w:rsidR="00773E2C" w:rsidRDefault="00805665">
      <w:pPr>
        <w:keepNext/>
        <w:ind w:firstLine="567"/>
        <w:jc w:val="both"/>
        <w:outlineLvl w:val="1"/>
        <w:rPr>
          <w:b/>
          <w:bCs/>
          <w:sz w:val="22"/>
          <w:szCs w:val="22"/>
        </w:rPr>
      </w:pPr>
      <w:bookmarkStart w:id="23" w:name="_Toc229052195"/>
      <w:r>
        <w:rPr>
          <w:b/>
          <w:bCs/>
          <w:sz w:val="22"/>
          <w:szCs w:val="22"/>
        </w:rPr>
        <w:lastRenderedPageBreak/>
        <w:t>4.6</w:t>
      </w:r>
      <w:r w:rsidR="009B7C78">
        <w:rPr>
          <w:b/>
          <w:bCs/>
          <w:sz w:val="22"/>
          <w:szCs w:val="22"/>
        </w:rPr>
        <w:t>.</w:t>
      </w:r>
      <w:r>
        <w:rPr>
          <w:b/>
          <w:bCs/>
          <w:sz w:val="22"/>
          <w:szCs w:val="22"/>
        </w:rPr>
        <w:t> Корпоративный секретарь</w:t>
      </w:r>
      <w:bookmarkEnd w:id="23"/>
      <w:r>
        <w:rPr>
          <w:b/>
          <w:bCs/>
          <w:sz w:val="22"/>
          <w:szCs w:val="22"/>
        </w:rPr>
        <w:t xml:space="preserve"> </w:t>
      </w:r>
    </w:p>
    <w:p w:rsidR="00773E2C" w:rsidRDefault="00773E2C">
      <w:pPr>
        <w:tabs>
          <w:tab w:val="left" w:pos="1260"/>
        </w:tabs>
        <w:ind w:firstLine="567"/>
        <w:jc w:val="both"/>
        <w:rPr>
          <w:sz w:val="22"/>
          <w:szCs w:val="22"/>
        </w:rPr>
      </w:pPr>
    </w:p>
    <w:p w:rsidR="00773E2C" w:rsidRDefault="00805665">
      <w:pPr>
        <w:tabs>
          <w:tab w:val="left" w:pos="1260"/>
        </w:tabs>
        <w:ind w:firstLine="567"/>
        <w:jc w:val="both"/>
        <w:rPr>
          <w:sz w:val="22"/>
          <w:szCs w:val="22"/>
        </w:rPr>
      </w:pPr>
      <w:r>
        <w:rPr>
          <w:sz w:val="22"/>
          <w:szCs w:val="22"/>
        </w:rPr>
        <w:t>В целях обеспечения эффективности корпоративного управления в Банке, требований действующего законодательства, Устава Банка, Кодекса корпоративного управления и внутренних документов Банка, гарантирующих реализацию прав и законных интересов акционеров, в Банке предусмотрена должность Корпоративного секретаря.</w:t>
      </w:r>
    </w:p>
    <w:p w:rsidR="00773E2C" w:rsidRDefault="00805665">
      <w:pPr>
        <w:tabs>
          <w:tab w:val="left" w:pos="1260"/>
        </w:tabs>
        <w:ind w:firstLine="567"/>
        <w:jc w:val="both"/>
        <w:rPr>
          <w:sz w:val="22"/>
          <w:szCs w:val="22"/>
        </w:rPr>
      </w:pPr>
      <w:r>
        <w:rPr>
          <w:sz w:val="22"/>
          <w:szCs w:val="22"/>
        </w:rPr>
        <w:t>Деятельность Корпоративного секретаря регулируется утвержденным Наблюдательным советом Банка Положением о Корпоративном секретаре Публичного акционерного общества «БАНК УРАЛСИБ», которое определяет статус Корпоративного секретаря, порядок его назначения и освобождения от должности, а также его полномочия и ответственность.</w:t>
      </w:r>
    </w:p>
    <w:p w:rsidR="00773E2C" w:rsidRDefault="00805665">
      <w:pPr>
        <w:tabs>
          <w:tab w:val="left" w:pos="1260"/>
        </w:tabs>
        <w:ind w:firstLine="567"/>
        <w:jc w:val="both"/>
        <w:rPr>
          <w:rFonts w:eastAsia="Calibri"/>
          <w:sz w:val="22"/>
          <w:szCs w:val="22"/>
          <w:lang w:eastAsia="en-US"/>
        </w:rPr>
      </w:pPr>
      <w:r>
        <w:rPr>
          <w:rFonts w:eastAsia="Calibri"/>
          <w:sz w:val="22"/>
          <w:szCs w:val="22"/>
          <w:lang w:eastAsia="en-US"/>
        </w:rPr>
        <w:t>Корпоративный секретарь подотчетен и подконтролен в своей деятельности Наблюдательному совету Банка</w:t>
      </w:r>
      <w:r w:rsidR="00762683">
        <w:rPr>
          <w:rFonts w:eastAsia="Calibri"/>
          <w:sz w:val="22"/>
          <w:szCs w:val="22"/>
          <w:lang w:eastAsia="en-US"/>
        </w:rPr>
        <w:t>,</w:t>
      </w:r>
      <w:r>
        <w:rPr>
          <w:rFonts w:eastAsia="Calibri"/>
          <w:sz w:val="22"/>
          <w:szCs w:val="22"/>
          <w:lang w:eastAsia="en-US"/>
        </w:rPr>
        <w:t xml:space="preserve"> </w:t>
      </w:r>
      <w:r w:rsidR="00762683">
        <w:rPr>
          <w:rFonts w:eastAsia="Calibri"/>
          <w:sz w:val="22"/>
          <w:szCs w:val="22"/>
          <w:lang w:eastAsia="en-US"/>
        </w:rPr>
        <w:t>о</w:t>
      </w:r>
      <w:r>
        <w:rPr>
          <w:rFonts w:eastAsia="Calibri"/>
          <w:sz w:val="22"/>
          <w:szCs w:val="22"/>
          <w:lang w:eastAsia="en-US"/>
        </w:rPr>
        <w:t>н ежегодно представляет на рассмотрение Наблюдательного совета Банка план своей работы (после проведения годового Общего собрания акционеров Банка) и отчет о своей работе (перед проведением годового Общего собрания акционеров Банка).</w:t>
      </w:r>
    </w:p>
    <w:p w:rsidR="00773E2C" w:rsidRDefault="00805665">
      <w:pPr>
        <w:tabs>
          <w:tab w:val="left" w:pos="1260"/>
        </w:tabs>
        <w:ind w:firstLine="567"/>
        <w:jc w:val="both"/>
        <w:rPr>
          <w:rFonts w:eastAsia="Calibri"/>
          <w:sz w:val="22"/>
          <w:szCs w:val="22"/>
          <w:lang w:eastAsia="en-US"/>
        </w:rPr>
      </w:pPr>
      <w:r>
        <w:rPr>
          <w:rFonts w:eastAsia="Calibri"/>
          <w:sz w:val="22"/>
          <w:szCs w:val="22"/>
          <w:lang w:eastAsia="en-US"/>
        </w:rPr>
        <w:t>Основными функциями Корпоративного секретаря Банка являются:</w:t>
      </w:r>
    </w:p>
    <w:p w:rsidR="00773E2C" w:rsidRDefault="00805665">
      <w:pPr>
        <w:numPr>
          <w:ilvl w:val="0"/>
          <w:numId w:val="29"/>
        </w:numPr>
        <w:tabs>
          <w:tab w:val="left" w:pos="851"/>
        </w:tabs>
        <w:autoSpaceDE w:val="0"/>
        <w:autoSpaceDN w:val="0"/>
        <w:adjustRightInd w:val="0"/>
        <w:ind w:left="851" w:hanging="284"/>
        <w:jc w:val="both"/>
        <w:rPr>
          <w:sz w:val="22"/>
          <w:szCs w:val="22"/>
        </w:rPr>
      </w:pPr>
      <w:r>
        <w:rPr>
          <w:sz w:val="22"/>
          <w:szCs w:val="22"/>
        </w:rPr>
        <w:t>организация защиты прав и законных интересов акционеров Банка;</w:t>
      </w:r>
    </w:p>
    <w:p w:rsidR="00773E2C" w:rsidRDefault="00805665">
      <w:pPr>
        <w:numPr>
          <w:ilvl w:val="0"/>
          <w:numId w:val="29"/>
        </w:numPr>
        <w:tabs>
          <w:tab w:val="left" w:pos="851"/>
        </w:tabs>
        <w:autoSpaceDE w:val="0"/>
        <w:autoSpaceDN w:val="0"/>
        <w:adjustRightInd w:val="0"/>
        <w:ind w:left="851" w:hanging="284"/>
        <w:jc w:val="both"/>
        <w:rPr>
          <w:sz w:val="22"/>
          <w:szCs w:val="22"/>
        </w:rPr>
      </w:pPr>
      <w:r>
        <w:rPr>
          <w:sz w:val="22"/>
          <w:szCs w:val="22"/>
        </w:rPr>
        <w:t>организация и проведение Общих собраний акционеров Банка;</w:t>
      </w:r>
    </w:p>
    <w:p w:rsidR="00773E2C" w:rsidRDefault="00805665">
      <w:pPr>
        <w:numPr>
          <w:ilvl w:val="0"/>
          <w:numId w:val="29"/>
        </w:numPr>
        <w:tabs>
          <w:tab w:val="left" w:pos="851"/>
        </w:tabs>
        <w:autoSpaceDE w:val="0"/>
        <w:autoSpaceDN w:val="0"/>
        <w:adjustRightInd w:val="0"/>
        <w:ind w:left="851" w:hanging="284"/>
        <w:jc w:val="both"/>
        <w:rPr>
          <w:rFonts w:eastAsia="Arial Unicode MS"/>
          <w:iCs/>
          <w:sz w:val="22"/>
          <w:szCs w:val="22"/>
        </w:rPr>
      </w:pPr>
      <w:r>
        <w:rPr>
          <w:sz w:val="22"/>
          <w:szCs w:val="22"/>
        </w:rPr>
        <w:t>обеспечение деятельности и организация проведения заседаний Наблюдательного совета;</w:t>
      </w:r>
    </w:p>
    <w:p w:rsidR="00773E2C" w:rsidRDefault="00805665">
      <w:pPr>
        <w:numPr>
          <w:ilvl w:val="0"/>
          <w:numId w:val="29"/>
        </w:numPr>
        <w:tabs>
          <w:tab w:val="left" w:pos="851"/>
        </w:tabs>
        <w:autoSpaceDE w:val="0"/>
        <w:autoSpaceDN w:val="0"/>
        <w:adjustRightInd w:val="0"/>
        <w:ind w:left="851" w:hanging="284"/>
        <w:jc w:val="both"/>
        <w:rPr>
          <w:sz w:val="22"/>
          <w:szCs w:val="22"/>
        </w:rPr>
      </w:pPr>
      <w:r>
        <w:rPr>
          <w:sz w:val="22"/>
          <w:szCs w:val="22"/>
        </w:rPr>
        <w:t>организация публичного раскрытия и предоставления информации о деятельности Банка по требованию акционеров и иных заинтересованных лиц;</w:t>
      </w:r>
    </w:p>
    <w:p w:rsidR="00773E2C" w:rsidRDefault="00805665">
      <w:pPr>
        <w:numPr>
          <w:ilvl w:val="0"/>
          <w:numId w:val="29"/>
        </w:numPr>
        <w:tabs>
          <w:tab w:val="left" w:pos="851"/>
        </w:tabs>
        <w:autoSpaceDE w:val="0"/>
        <w:autoSpaceDN w:val="0"/>
        <w:adjustRightInd w:val="0"/>
        <w:ind w:left="851" w:hanging="284"/>
        <w:jc w:val="both"/>
        <w:rPr>
          <w:sz w:val="22"/>
          <w:szCs w:val="22"/>
        </w:rPr>
      </w:pPr>
      <w:r>
        <w:rPr>
          <w:sz w:val="22"/>
          <w:szCs w:val="22"/>
        </w:rPr>
        <w:t>осуществление деятельности по повышению эффективности корпоративного управления в Банке и его дочерних и зависимых обществах.</w:t>
      </w:r>
    </w:p>
    <w:p w:rsidR="00773E2C" w:rsidRDefault="00805665">
      <w:pPr>
        <w:tabs>
          <w:tab w:val="left" w:pos="1260"/>
        </w:tabs>
        <w:ind w:firstLine="567"/>
        <w:jc w:val="both"/>
        <w:rPr>
          <w:rFonts w:eastAsia="Calibri"/>
          <w:sz w:val="22"/>
          <w:szCs w:val="22"/>
          <w:lang w:eastAsia="en-US"/>
        </w:rPr>
      </w:pPr>
      <w:r>
        <w:rPr>
          <w:rFonts w:eastAsia="Calibri"/>
          <w:sz w:val="22"/>
          <w:szCs w:val="22"/>
          <w:lang w:eastAsia="en-US"/>
        </w:rPr>
        <w:t>С 04.07.2023 года должность Корпоративного секретаря Банка занимает Тындик Наталья Викторовна.</w:t>
      </w:r>
    </w:p>
    <w:p w:rsidR="00773E2C" w:rsidRDefault="00773E2C">
      <w:pPr>
        <w:tabs>
          <w:tab w:val="left" w:pos="1260"/>
        </w:tabs>
        <w:ind w:firstLine="567"/>
        <w:jc w:val="both"/>
        <w:rPr>
          <w:sz w:val="22"/>
          <w:szCs w:val="22"/>
        </w:rPr>
      </w:pPr>
    </w:p>
    <w:p w:rsidR="00773E2C" w:rsidRDefault="00805665">
      <w:pPr>
        <w:ind w:firstLine="567"/>
        <w:jc w:val="both"/>
        <w:rPr>
          <w:b/>
          <w:color w:val="000000" w:themeColor="text1"/>
          <w:sz w:val="22"/>
          <w:szCs w:val="22"/>
        </w:rPr>
      </w:pPr>
      <w:r>
        <w:rPr>
          <w:b/>
          <w:color w:val="000000" w:themeColor="text1"/>
          <w:sz w:val="22"/>
          <w:szCs w:val="22"/>
        </w:rPr>
        <w:t>Краткие сведения о Корпоративном секретаре</w:t>
      </w:r>
    </w:p>
    <w:p w:rsidR="00773E2C" w:rsidRDefault="00773E2C">
      <w:pPr>
        <w:tabs>
          <w:tab w:val="left" w:pos="1260"/>
        </w:tabs>
        <w:ind w:firstLine="567"/>
        <w:jc w:val="both"/>
        <w:rPr>
          <w:rFonts w:eastAsia="Calibri"/>
          <w:color w:val="000000" w:themeColor="text1"/>
          <w:sz w:val="22"/>
          <w:szCs w:val="22"/>
          <w:lang w:eastAsia="en-US"/>
        </w:rPr>
      </w:pPr>
    </w:p>
    <w:p w:rsidR="00773E2C" w:rsidRDefault="00805665">
      <w:pPr>
        <w:tabs>
          <w:tab w:val="left" w:pos="7305"/>
        </w:tabs>
        <w:ind w:firstLine="567"/>
        <w:jc w:val="both"/>
        <w:rPr>
          <w:color w:val="000000" w:themeColor="text1"/>
          <w:sz w:val="22"/>
          <w:szCs w:val="22"/>
        </w:rPr>
      </w:pPr>
      <w:r>
        <w:rPr>
          <w:b/>
          <w:color w:val="000000" w:themeColor="text1"/>
          <w:sz w:val="22"/>
          <w:szCs w:val="22"/>
        </w:rPr>
        <w:t xml:space="preserve">Тындик Наталья Викторовна </w:t>
      </w:r>
      <w:r>
        <w:rPr>
          <w:color w:val="000000" w:themeColor="text1"/>
          <w:sz w:val="22"/>
          <w:szCs w:val="22"/>
        </w:rPr>
        <w:t>– Корпоративный секретарь Банка.</w:t>
      </w:r>
    </w:p>
    <w:p w:rsidR="00773E2C" w:rsidRDefault="00805665">
      <w:pPr>
        <w:tabs>
          <w:tab w:val="left" w:pos="7305"/>
        </w:tabs>
        <w:ind w:firstLine="567"/>
        <w:jc w:val="both"/>
        <w:rPr>
          <w:color w:val="000000" w:themeColor="text1"/>
          <w:sz w:val="22"/>
          <w:szCs w:val="22"/>
        </w:rPr>
      </w:pPr>
      <w:r>
        <w:rPr>
          <w:color w:val="000000" w:themeColor="text1"/>
          <w:sz w:val="22"/>
          <w:szCs w:val="22"/>
        </w:rPr>
        <w:t>Год рождения: 1976.</w:t>
      </w:r>
    </w:p>
    <w:p w:rsidR="00773E2C" w:rsidRDefault="00805665">
      <w:pPr>
        <w:ind w:firstLine="567"/>
        <w:jc w:val="both"/>
        <w:rPr>
          <w:color w:val="000000" w:themeColor="text1"/>
          <w:sz w:val="22"/>
          <w:szCs w:val="22"/>
        </w:rPr>
      </w:pPr>
      <w:r>
        <w:rPr>
          <w:color w:val="000000" w:themeColor="text1"/>
          <w:sz w:val="22"/>
          <w:szCs w:val="22"/>
        </w:rPr>
        <w:t>Образование, специальность, квалификация, ученая степень, ученное звание:</w:t>
      </w:r>
    </w:p>
    <w:p w:rsidR="00773E2C" w:rsidRDefault="00805665">
      <w:pPr>
        <w:numPr>
          <w:ilvl w:val="0"/>
          <w:numId w:val="25"/>
        </w:numPr>
        <w:tabs>
          <w:tab w:val="left" w:pos="851"/>
        </w:tabs>
        <w:autoSpaceDE w:val="0"/>
        <w:autoSpaceDN w:val="0"/>
        <w:adjustRightInd w:val="0"/>
        <w:ind w:left="851" w:hanging="284"/>
        <w:jc w:val="both"/>
        <w:rPr>
          <w:color w:val="000000" w:themeColor="text1"/>
          <w:sz w:val="22"/>
          <w:szCs w:val="22"/>
        </w:rPr>
      </w:pPr>
      <w:r>
        <w:rPr>
          <w:color w:val="000000" w:themeColor="text1"/>
          <w:sz w:val="22"/>
          <w:szCs w:val="22"/>
        </w:rPr>
        <w:t>1998 год - Московский государственный университет по специальности</w:t>
      </w:r>
      <w:r>
        <w:rPr>
          <w:color w:val="000000" w:themeColor="text1"/>
          <w:sz w:val="20"/>
          <w:szCs w:val="20"/>
        </w:rPr>
        <w:t xml:space="preserve"> </w:t>
      </w:r>
      <w:r>
        <w:rPr>
          <w:color w:val="000000" w:themeColor="text1"/>
          <w:sz w:val="22"/>
          <w:szCs w:val="22"/>
        </w:rPr>
        <w:t>«Юриспруденция».</w:t>
      </w:r>
    </w:p>
    <w:p w:rsidR="00773E2C" w:rsidRDefault="00805665">
      <w:pPr>
        <w:ind w:firstLine="567"/>
        <w:jc w:val="both"/>
        <w:rPr>
          <w:color w:val="000000" w:themeColor="text1"/>
          <w:sz w:val="22"/>
          <w:szCs w:val="22"/>
        </w:rPr>
      </w:pPr>
      <w:r>
        <w:rPr>
          <w:color w:val="000000" w:themeColor="text1"/>
          <w:sz w:val="22"/>
          <w:szCs w:val="22"/>
        </w:rPr>
        <w:t>Должности, занимаемые за последние пять лет:</w:t>
      </w:r>
    </w:p>
    <w:p w:rsidR="00773E2C" w:rsidRDefault="00805665">
      <w:pPr>
        <w:numPr>
          <w:ilvl w:val="0"/>
          <w:numId w:val="25"/>
        </w:numPr>
        <w:tabs>
          <w:tab w:val="left" w:pos="851"/>
        </w:tabs>
        <w:autoSpaceDE w:val="0"/>
        <w:autoSpaceDN w:val="0"/>
        <w:adjustRightInd w:val="0"/>
        <w:ind w:left="851" w:hanging="284"/>
        <w:jc w:val="both"/>
        <w:rPr>
          <w:color w:val="000000" w:themeColor="text1"/>
          <w:sz w:val="22"/>
          <w:szCs w:val="22"/>
        </w:rPr>
      </w:pPr>
      <w:r>
        <w:rPr>
          <w:color w:val="000000" w:themeColor="text1"/>
          <w:sz w:val="22"/>
          <w:szCs w:val="22"/>
        </w:rPr>
        <w:t>Корпоративный секретарь ПАО «БАНК УРАЛСИБ» (с 04.07.2023 года);</w:t>
      </w:r>
    </w:p>
    <w:p w:rsidR="00773E2C" w:rsidRDefault="00805665">
      <w:pPr>
        <w:numPr>
          <w:ilvl w:val="0"/>
          <w:numId w:val="25"/>
        </w:numPr>
        <w:tabs>
          <w:tab w:val="left" w:pos="851"/>
        </w:tabs>
        <w:autoSpaceDE w:val="0"/>
        <w:autoSpaceDN w:val="0"/>
        <w:adjustRightInd w:val="0"/>
        <w:ind w:left="851" w:hanging="284"/>
        <w:jc w:val="both"/>
        <w:rPr>
          <w:color w:val="000000" w:themeColor="text1"/>
          <w:sz w:val="22"/>
          <w:szCs w:val="22"/>
        </w:rPr>
      </w:pPr>
      <w:r>
        <w:rPr>
          <w:color w:val="000000" w:themeColor="text1"/>
          <w:sz w:val="22"/>
          <w:szCs w:val="22"/>
        </w:rPr>
        <w:t>Начальник Управления правового сопровождения корпоративной деятельности банка ПАО «БАНК УРАЛСИБ» (с 23.08.2021 года);</w:t>
      </w:r>
    </w:p>
    <w:p w:rsidR="00773E2C" w:rsidRDefault="00805665">
      <w:pPr>
        <w:numPr>
          <w:ilvl w:val="0"/>
          <w:numId w:val="25"/>
        </w:numPr>
        <w:tabs>
          <w:tab w:val="left" w:pos="851"/>
        </w:tabs>
        <w:autoSpaceDE w:val="0"/>
        <w:autoSpaceDN w:val="0"/>
        <w:adjustRightInd w:val="0"/>
        <w:ind w:left="851" w:hanging="284"/>
        <w:jc w:val="both"/>
        <w:rPr>
          <w:color w:val="000000" w:themeColor="text1"/>
          <w:sz w:val="22"/>
          <w:szCs w:val="22"/>
        </w:rPr>
      </w:pPr>
      <w:r>
        <w:rPr>
          <w:color w:val="000000" w:themeColor="text1"/>
          <w:sz w:val="22"/>
          <w:szCs w:val="22"/>
        </w:rPr>
        <w:t xml:space="preserve">Руководитель Дирекции сопровождения корпоративной деятельности банка Управления правового сопровождения корпоративной деятельности банка и </w:t>
      </w:r>
      <w:proofErr w:type="spellStart"/>
      <w:r>
        <w:rPr>
          <w:color w:val="000000" w:themeColor="text1"/>
          <w:sz w:val="22"/>
          <w:szCs w:val="22"/>
        </w:rPr>
        <w:t>общебанковских</w:t>
      </w:r>
      <w:proofErr w:type="spellEnd"/>
      <w:r>
        <w:rPr>
          <w:color w:val="000000" w:themeColor="text1"/>
          <w:sz w:val="22"/>
          <w:szCs w:val="22"/>
        </w:rPr>
        <w:t xml:space="preserve"> вопросов Юридической службы ПАО «БАНК УРАЛСИБ» (с 18.06.2018 года до 23.08.2021 года).</w:t>
      </w:r>
    </w:p>
    <w:p w:rsidR="00773E2C" w:rsidRDefault="00805665">
      <w:pPr>
        <w:ind w:firstLine="540"/>
        <w:jc w:val="both"/>
        <w:rPr>
          <w:color w:val="000000" w:themeColor="text1"/>
          <w:sz w:val="22"/>
        </w:rPr>
      </w:pPr>
      <w:r>
        <w:rPr>
          <w:color w:val="000000" w:themeColor="text1"/>
          <w:sz w:val="22"/>
        </w:rPr>
        <w:t>С 2023 года является членом Ассоциации «Национальное объединение корпоративных секретарей».</w:t>
      </w:r>
    </w:p>
    <w:p w:rsidR="00773E2C" w:rsidRDefault="00773E2C">
      <w:pPr>
        <w:ind w:firstLine="540"/>
        <w:jc w:val="both"/>
        <w:rPr>
          <w:rFonts w:eastAsiaTheme="minorHAnsi"/>
          <w:color w:val="000000"/>
          <w:lang w:eastAsia="en-US"/>
        </w:rPr>
      </w:pPr>
    </w:p>
    <w:p w:rsidR="00773E2C" w:rsidRDefault="00805665">
      <w:pPr>
        <w:keepNext/>
        <w:ind w:firstLine="567"/>
        <w:jc w:val="both"/>
        <w:outlineLvl w:val="1"/>
        <w:rPr>
          <w:b/>
          <w:bCs/>
          <w:sz w:val="22"/>
          <w:szCs w:val="22"/>
        </w:rPr>
      </w:pPr>
      <w:bookmarkStart w:id="24" w:name="_Toc229052196"/>
      <w:r>
        <w:rPr>
          <w:b/>
          <w:bCs/>
          <w:sz w:val="22"/>
          <w:szCs w:val="22"/>
        </w:rPr>
        <w:t>4.7</w:t>
      </w:r>
      <w:r w:rsidR="009B7C78">
        <w:rPr>
          <w:b/>
          <w:bCs/>
          <w:sz w:val="22"/>
          <w:szCs w:val="22"/>
        </w:rPr>
        <w:t>.</w:t>
      </w:r>
      <w:r>
        <w:rPr>
          <w:b/>
          <w:bCs/>
          <w:sz w:val="22"/>
          <w:szCs w:val="22"/>
        </w:rPr>
        <w:t> Система управления рисками</w:t>
      </w:r>
      <w:bookmarkEnd w:id="24"/>
    </w:p>
    <w:p w:rsidR="00773E2C" w:rsidRDefault="00773E2C">
      <w:pPr>
        <w:ind w:firstLine="540"/>
        <w:jc w:val="both"/>
        <w:rPr>
          <w:sz w:val="22"/>
          <w:szCs w:val="22"/>
        </w:rPr>
      </w:pPr>
    </w:p>
    <w:p w:rsidR="00773E2C" w:rsidRDefault="00805665">
      <w:pPr>
        <w:tabs>
          <w:tab w:val="left" w:pos="1260"/>
        </w:tabs>
        <w:ind w:firstLine="567"/>
        <w:jc w:val="both"/>
        <w:rPr>
          <w:rFonts w:eastAsia="Calibri"/>
          <w:sz w:val="22"/>
          <w:szCs w:val="22"/>
          <w:lang w:eastAsia="en-US"/>
        </w:rPr>
      </w:pPr>
      <w:r>
        <w:rPr>
          <w:rFonts w:eastAsia="Calibri"/>
          <w:sz w:val="22"/>
          <w:szCs w:val="22"/>
          <w:lang w:eastAsia="en-US"/>
        </w:rPr>
        <w:t>Система управления рисками и капиталом ПАО «БАНК УРАЛСИБ» строится в соответствии с требованиями законодательства Российской Федерации и нормативных актов Банка России, Стратегией управления рисками и капиталом</w:t>
      </w:r>
      <w:r w:rsidR="004F0050">
        <w:rPr>
          <w:rFonts w:eastAsia="Calibri"/>
          <w:sz w:val="22"/>
          <w:szCs w:val="22"/>
          <w:lang w:eastAsia="en-US"/>
        </w:rPr>
        <w:t xml:space="preserve">, а также </w:t>
      </w:r>
      <w:r>
        <w:rPr>
          <w:rFonts w:eastAsia="Calibri"/>
          <w:sz w:val="22"/>
          <w:szCs w:val="22"/>
          <w:lang w:eastAsia="en-US"/>
        </w:rPr>
        <w:t>политиками управления значимыми видами рисков.</w:t>
      </w:r>
    </w:p>
    <w:p w:rsidR="00773E2C" w:rsidRDefault="00805665">
      <w:pPr>
        <w:tabs>
          <w:tab w:val="left" w:pos="1260"/>
        </w:tabs>
        <w:ind w:firstLine="567"/>
        <w:jc w:val="both"/>
        <w:rPr>
          <w:rFonts w:eastAsia="Calibri"/>
          <w:sz w:val="22"/>
          <w:szCs w:val="22"/>
          <w:lang w:eastAsia="en-US"/>
        </w:rPr>
      </w:pPr>
      <w:r>
        <w:rPr>
          <w:rFonts w:eastAsia="Calibri"/>
          <w:sz w:val="22"/>
          <w:szCs w:val="22"/>
          <w:lang w:eastAsia="en-US"/>
        </w:rPr>
        <w:t>Система управления рисками и капиталом является частью общей системы управления Банком и направлена на обеспечение устойчивого развития Банка в рамках реализации Стратегии развития, Бизнес-плана Банка.</w:t>
      </w:r>
    </w:p>
    <w:p w:rsidR="00773E2C" w:rsidRDefault="00805665">
      <w:pPr>
        <w:tabs>
          <w:tab w:val="left" w:pos="1260"/>
        </w:tabs>
        <w:ind w:firstLine="567"/>
        <w:jc w:val="both"/>
        <w:rPr>
          <w:rFonts w:eastAsia="Calibri"/>
          <w:sz w:val="22"/>
          <w:szCs w:val="22"/>
          <w:lang w:eastAsia="en-US"/>
        </w:rPr>
      </w:pPr>
      <w:r>
        <w:rPr>
          <w:rFonts w:eastAsia="Calibri"/>
          <w:sz w:val="22"/>
          <w:szCs w:val="22"/>
          <w:lang w:eastAsia="en-US"/>
        </w:rPr>
        <w:t>Система управления рисками создается путем реализации внутренних процедур оценки достаточности капитала (далее – ВПОДК) и определяет единые цели, задачи и принципы управления рисками и капиталом в Банке.</w:t>
      </w:r>
    </w:p>
    <w:p w:rsidR="00773E2C" w:rsidRDefault="00805665">
      <w:pPr>
        <w:tabs>
          <w:tab w:val="left" w:pos="1260"/>
        </w:tabs>
        <w:ind w:firstLine="567"/>
        <w:jc w:val="both"/>
        <w:rPr>
          <w:rFonts w:eastAsia="Calibri"/>
          <w:sz w:val="22"/>
          <w:szCs w:val="22"/>
          <w:lang w:eastAsia="en-US"/>
        </w:rPr>
      </w:pPr>
      <w:r>
        <w:rPr>
          <w:rFonts w:eastAsia="Calibri"/>
          <w:sz w:val="22"/>
          <w:szCs w:val="22"/>
          <w:lang w:eastAsia="en-US"/>
        </w:rPr>
        <w:t xml:space="preserve">При формировании ВПОДК Банк руководствуется нормативными документами Банка России и рекомендациями </w:t>
      </w:r>
      <w:proofErr w:type="spellStart"/>
      <w:r>
        <w:rPr>
          <w:rFonts w:eastAsia="Calibri"/>
          <w:sz w:val="22"/>
          <w:szCs w:val="22"/>
          <w:lang w:eastAsia="en-US"/>
        </w:rPr>
        <w:t>Базельского</w:t>
      </w:r>
      <w:proofErr w:type="spellEnd"/>
      <w:r>
        <w:rPr>
          <w:rFonts w:eastAsia="Calibri"/>
          <w:sz w:val="22"/>
          <w:szCs w:val="22"/>
          <w:lang w:eastAsia="en-US"/>
        </w:rPr>
        <w:t xml:space="preserve"> комитета по банковскому надзору (далее – БКБН).</w:t>
      </w:r>
    </w:p>
    <w:p w:rsidR="00773E2C" w:rsidRDefault="00805665">
      <w:pPr>
        <w:tabs>
          <w:tab w:val="left" w:pos="1260"/>
        </w:tabs>
        <w:ind w:firstLine="567"/>
        <w:jc w:val="both"/>
        <w:rPr>
          <w:rFonts w:eastAsia="Calibri"/>
          <w:sz w:val="22"/>
          <w:szCs w:val="22"/>
          <w:lang w:eastAsia="en-US"/>
        </w:rPr>
      </w:pPr>
      <w:r>
        <w:rPr>
          <w:rFonts w:eastAsia="Calibri"/>
          <w:sz w:val="22"/>
          <w:szCs w:val="22"/>
          <w:lang w:eastAsia="en-US"/>
        </w:rPr>
        <w:t>Основными принципами управления рисками в Банке являются:</w:t>
      </w:r>
    </w:p>
    <w:p w:rsidR="00773E2C" w:rsidRDefault="00805665">
      <w:pPr>
        <w:numPr>
          <w:ilvl w:val="0"/>
          <w:numId w:val="30"/>
        </w:numPr>
        <w:tabs>
          <w:tab w:val="left" w:pos="851"/>
        </w:tabs>
        <w:autoSpaceDE w:val="0"/>
        <w:autoSpaceDN w:val="0"/>
        <w:adjustRightInd w:val="0"/>
        <w:ind w:left="851" w:hanging="284"/>
        <w:jc w:val="both"/>
        <w:rPr>
          <w:sz w:val="22"/>
          <w:szCs w:val="22"/>
        </w:rPr>
      </w:pPr>
      <w:r>
        <w:rPr>
          <w:b/>
          <w:sz w:val="22"/>
          <w:szCs w:val="22"/>
        </w:rPr>
        <w:lastRenderedPageBreak/>
        <w:t>Консервативный подход.</w:t>
      </w:r>
      <w:r>
        <w:rPr>
          <w:sz w:val="22"/>
          <w:szCs w:val="22"/>
        </w:rPr>
        <w:t xml:space="preserve"> В основе работы по управлению рисками и капиталом лежит взвешенный и консервативный подход к их интеграции во все бизнес-процессы Банка, обеспечению эффективного обмена информацией, комплексности использования различных методов минимизации рисков, реализации независимой от бизнес-подразделений функции экспертизы и мониторинга рисков.</w:t>
      </w:r>
    </w:p>
    <w:p w:rsidR="00773E2C" w:rsidRDefault="00805665">
      <w:pPr>
        <w:numPr>
          <w:ilvl w:val="0"/>
          <w:numId w:val="30"/>
        </w:numPr>
        <w:tabs>
          <w:tab w:val="left" w:pos="851"/>
        </w:tabs>
        <w:autoSpaceDE w:val="0"/>
        <w:autoSpaceDN w:val="0"/>
        <w:adjustRightInd w:val="0"/>
        <w:ind w:left="851" w:hanging="284"/>
        <w:jc w:val="both"/>
        <w:rPr>
          <w:sz w:val="22"/>
          <w:szCs w:val="22"/>
        </w:rPr>
      </w:pPr>
      <w:r>
        <w:rPr>
          <w:b/>
          <w:sz w:val="22"/>
          <w:szCs w:val="22"/>
        </w:rPr>
        <w:t xml:space="preserve">Независимость функции управления рисками. </w:t>
      </w:r>
      <w:r>
        <w:rPr>
          <w:sz w:val="22"/>
          <w:szCs w:val="22"/>
        </w:rPr>
        <w:t xml:space="preserve">В целях предотвращения конфликта интересов в Банке обязанности по проведению операций, подверженных рискам, учету этих операций, управлению и контролю за рисками закреплены за разными подразделениями Банка. В Банке обеспечивается независимость профильных подразделений оценки и анализа рисков от подразделений, совершающих операции (сделки), подверженные рискам; включение функции оценки рисков в процесс принятия решений на всех уровнях, вовлечение функции оценки рисков, как в высокоуровневый процесс принятия стратегических решений, так и в управление рисками на операционном уровне; независимость функции </w:t>
      </w:r>
      <w:proofErr w:type="spellStart"/>
      <w:r>
        <w:rPr>
          <w:sz w:val="22"/>
          <w:szCs w:val="22"/>
        </w:rPr>
        <w:t>валидации</w:t>
      </w:r>
      <w:proofErr w:type="spellEnd"/>
      <w:r>
        <w:rPr>
          <w:sz w:val="22"/>
          <w:szCs w:val="22"/>
        </w:rPr>
        <w:t>.</w:t>
      </w:r>
    </w:p>
    <w:p w:rsidR="00773E2C" w:rsidRDefault="00805665">
      <w:pPr>
        <w:numPr>
          <w:ilvl w:val="0"/>
          <w:numId w:val="30"/>
        </w:numPr>
        <w:tabs>
          <w:tab w:val="left" w:pos="851"/>
        </w:tabs>
        <w:autoSpaceDE w:val="0"/>
        <w:autoSpaceDN w:val="0"/>
        <w:adjustRightInd w:val="0"/>
        <w:ind w:left="851" w:hanging="284"/>
        <w:jc w:val="both"/>
        <w:rPr>
          <w:sz w:val="22"/>
          <w:szCs w:val="22"/>
        </w:rPr>
      </w:pPr>
      <w:r>
        <w:rPr>
          <w:b/>
          <w:sz w:val="22"/>
          <w:szCs w:val="22"/>
        </w:rPr>
        <w:t xml:space="preserve">Ограничение уровня принимаемых рисков. </w:t>
      </w:r>
      <w:r>
        <w:rPr>
          <w:sz w:val="22"/>
          <w:szCs w:val="22"/>
        </w:rPr>
        <w:t>Определение склонности к риску на базе соотношения уровня принимаемых рисков и способности к принятию риска и ее транслирование в систему лимитов и ограничений позволяет обеспечить приемлемый уровень рисков по агрегированным позициям, прозрачное распределение общего лимита риска по направлениям деятельности Банка.</w:t>
      </w:r>
    </w:p>
    <w:p w:rsidR="00773E2C" w:rsidRDefault="00805665">
      <w:pPr>
        <w:numPr>
          <w:ilvl w:val="0"/>
          <w:numId w:val="30"/>
        </w:numPr>
        <w:tabs>
          <w:tab w:val="left" w:pos="851"/>
        </w:tabs>
        <w:autoSpaceDE w:val="0"/>
        <w:autoSpaceDN w:val="0"/>
        <w:adjustRightInd w:val="0"/>
        <w:ind w:left="851" w:hanging="284"/>
        <w:jc w:val="both"/>
        <w:rPr>
          <w:sz w:val="22"/>
          <w:szCs w:val="22"/>
        </w:rPr>
      </w:pPr>
      <w:r>
        <w:rPr>
          <w:b/>
          <w:sz w:val="22"/>
          <w:szCs w:val="22"/>
        </w:rPr>
        <w:t xml:space="preserve">Сочетание централизованного и децентрализованного подходов к управлению рисками Банка. </w:t>
      </w:r>
      <w:r>
        <w:rPr>
          <w:sz w:val="22"/>
          <w:szCs w:val="22"/>
        </w:rPr>
        <w:t>В Банке сочетаются централизованный и децентрализованный подходы к управлению рисками. Профильные подразделения Банка по управлению рисками определяют требования, ограничения, лимиты, методологию в части управления рисками Банка; подразделения Банка осуществляют управление рисками в рамках, установленных для них уполномоченными органами и (или) должностными лицами, ограничений и полномочий.</w:t>
      </w:r>
    </w:p>
    <w:p w:rsidR="00773E2C" w:rsidRDefault="00805665">
      <w:pPr>
        <w:numPr>
          <w:ilvl w:val="0"/>
          <w:numId w:val="22"/>
        </w:numPr>
        <w:tabs>
          <w:tab w:val="left" w:pos="851"/>
        </w:tabs>
        <w:autoSpaceDE w:val="0"/>
        <w:autoSpaceDN w:val="0"/>
        <w:adjustRightInd w:val="0"/>
        <w:ind w:left="851" w:hanging="284"/>
        <w:jc w:val="both"/>
        <w:rPr>
          <w:sz w:val="22"/>
          <w:szCs w:val="22"/>
        </w:rPr>
      </w:pPr>
      <w:r>
        <w:rPr>
          <w:b/>
          <w:sz w:val="22"/>
          <w:szCs w:val="22"/>
        </w:rPr>
        <w:t xml:space="preserve">Обеспечение «трех линий защиты». </w:t>
      </w:r>
      <w:r>
        <w:rPr>
          <w:sz w:val="22"/>
          <w:szCs w:val="22"/>
        </w:rPr>
        <w:t>В процессе осуществления деятельности по управлению рисками обеспечивается вовлеченность всех подразделений Банка в оценку, принятие и контроль рисков.</w:t>
      </w:r>
    </w:p>
    <w:p w:rsidR="00773E2C" w:rsidRDefault="00805665">
      <w:pPr>
        <w:numPr>
          <w:ilvl w:val="0"/>
          <w:numId w:val="22"/>
        </w:numPr>
        <w:tabs>
          <w:tab w:val="left" w:pos="851"/>
        </w:tabs>
        <w:autoSpaceDE w:val="0"/>
        <w:autoSpaceDN w:val="0"/>
        <w:adjustRightInd w:val="0"/>
        <w:ind w:left="851" w:hanging="284"/>
        <w:jc w:val="both"/>
        <w:rPr>
          <w:sz w:val="22"/>
          <w:szCs w:val="22"/>
        </w:rPr>
      </w:pPr>
      <w:r>
        <w:rPr>
          <w:b/>
          <w:sz w:val="22"/>
          <w:szCs w:val="22"/>
        </w:rPr>
        <w:t xml:space="preserve">Обеспечение «трех линий защиты». </w:t>
      </w:r>
      <w:r>
        <w:rPr>
          <w:sz w:val="22"/>
          <w:szCs w:val="22"/>
        </w:rPr>
        <w:t>В Банке выделяются три линии защиты:</w:t>
      </w:r>
    </w:p>
    <w:p w:rsidR="00773E2C" w:rsidRDefault="00805665">
      <w:pPr>
        <w:pStyle w:val="affff3"/>
        <w:numPr>
          <w:ilvl w:val="0"/>
          <w:numId w:val="31"/>
        </w:numPr>
        <w:tabs>
          <w:tab w:val="left" w:pos="1608"/>
        </w:tabs>
        <w:autoSpaceDE w:val="0"/>
        <w:autoSpaceDN w:val="0"/>
        <w:adjustRightInd w:val="0"/>
        <w:rPr>
          <w:rFonts w:ascii="Times New Roman" w:eastAsia="Times New Roman" w:hAnsi="Times New Roman"/>
          <w:lang w:eastAsia="ru-RU"/>
        </w:rPr>
      </w:pPr>
      <w:r>
        <w:rPr>
          <w:rFonts w:ascii="Times New Roman" w:eastAsia="Times New Roman" w:hAnsi="Times New Roman"/>
          <w:lang w:eastAsia="ru-RU"/>
        </w:rPr>
        <w:t>1-я линия защиты: владельцы риска;</w:t>
      </w:r>
    </w:p>
    <w:p w:rsidR="00773E2C" w:rsidRDefault="00805665">
      <w:pPr>
        <w:pStyle w:val="affff3"/>
        <w:numPr>
          <w:ilvl w:val="0"/>
          <w:numId w:val="31"/>
        </w:numPr>
        <w:tabs>
          <w:tab w:val="left" w:pos="1608"/>
        </w:tabs>
        <w:autoSpaceDE w:val="0"/>
        <w:autoSpaceDN w:val="0"/>
        <w:adjustRightInd w:val="0"/>
        <w:rPr>
          <w:rFonts w:ascii="Times New Roman" w:eastAsia="Times New Roman" w:hAnsi="Times New Roman"/>
          <w:lang w:eastAsia="ru-RU"/>
        </w:rPr>
      </w:pPr>
      <w:r>
        <w:rPr>
          <w:rFonts w:ascii="Times New Roman" w:eastAsia="Times New Roman" w:hAnsi="Times New Roman"/>
          <w:lang w:eastAsia="ru-RU"/>
        </w:rPr>
        <w:t>2-я линия защиты: управляющие рисками и осуществляющие внутренний контроль;</w:t>
      </w:r>
    </w:p>
    <w:p w:rsidR="00773E2C" w:rsidRDefault="00805665">
      <w:pPr>
        <w:pStyle w:val="affff3"/>
        <w:numPr>
          <w:ilvl w:val="0"/>
          <w:numId w:val="31"/>
        </w:numPr>
        <w:tabs>
          <w:tab w:val="left" w:pos="1608"/>
        </w:tabs>
        <w:autoSpaceDE w:val="0"/>
        <w:autoSpaceDN w:val="0"/>
        <w:adjustRightInd w:val="0"/>
        <w:spacing w:after="0"/>
        <w:ind w:left="1208" w:hanging="357"/>
      </w:pPr>
      <w:r>
        <w:rPr>
          <w:rFonts w:ascii="Times New Roman" w:eastAsia="Times New Roman" w:hAnsi="Times New Roman"/>
          <w:lang w:eastAsia="ru-RU"/>
        </w:rPr>
        <w:t>3-я линия защиты: Служба внутреннего аудита.</w:t>
      </w:r>
    </w:p>
    <w:p w:rsidR="00773E2C" w:rsidRDefault="00805665">
      <w:pPr>
        <w:numPr>
          <w:ilvl w:val="0"/>
          <w:numId w:val="22"/>
        </w:numPr>
        <w:tabs>
          <w:tab w:val="left" w:pos="851"/>
        </w:tabs>
        <w:autoSpaceDE w:val="0"/>
        <w:autoSpaceDN w:val="0"/>
        <w:adjustRightInd w:val="0"/>
        <w:ind w:left="851" w:hanging="284"/>
        <w:jc w:val="both"/>
        <w:rPr>
          <w:sz w:val="22"/>
          <w:szCs w:val="22"/>
        </w:rPr>
      </w:pPr>
      <w:r>
        <w:rPr>
          <w:b/>
          <w:sz w:val="22"/>
          <w:szCs w:val="22"/>
        </w:rPr>
        <w:t xml:space="preserve">Соблюдение требований законодательства Российской Федерации. </w:t>
      </w:r>
      <w:r>
        <w:rPr>
          <w:sz w:val="22"/>
          <w:szCs w:val="22"/>
        </w:rPr>
        <w:t>Система управления рисками обеспечивает соблюдение показателей и требований, установленных действующим законодательством Российской Федерации.</w:t>
      </w:r>
    </w:p>
    <w:p w:rsidR="00773E2C" w:rsidRDefault="00805665">
      <w:pPr>
        <w:numPr>
          <w:ilvl w:val="0"/>
          <w:numId w:val="30"/>
        </w:numPr>
        <w:tabs>
          <w:tab w:val="left" w:pos="851"/>
        </w:tabs>
        <w:autoSpaceDE w:val="0"/>
        <w:autoSpaceDN w:val="0"/>
        <w:adjustRightInd w:val="0"/>
        <w:ind w:left="851" w:hanging="284"/>
        <w:jc w:val="both"/>
        <w:rPr>
          <w:sz w:val="22"/>
          <w:szCs w:val="22"/>
        </w:rPr>
      </w:pPr>
      <w:r>
        <w:rPr>
          <w:b/>
          <w:sz w:val="22"/>
          <w:szCs w:val="22"/>
        </w:rPr>
        <w:t xml:space="preserve">Контроль уровня склонности к риску. </w:t>
      </w:r>
      <w:r>
        <w:rPr>
          <w:sz w:val="22"/>
          <w:szCs w:val="22"/>
        </w:rPr>
        <w:t>Руководство Банка, коллегиальные органы Банка на регулярной основе получают информацию о принятом уровне рисков и о фактах нарушений установленных процедур управления рисками, лимитов, ограничений в соответствии с требованиями Главы 6 Указания Банка России от 15 апреля 2015 года № 3624-У «О требованиях к системе управления рисками и капиталом кредитной организации и банковской группы». В Банке действует система внутреннего контроля, позволяющая осуществлять эффективный контроль функционирования системы управления рисками Банка.</w:t>
      </w:r>
    </w:p>
    <w:p w:rsidR="00773E2C" w:rsidRDefault="00805665">
      <w:pPr>
        <w:numPr>
          <w:ilvl w:val="0"/>
          <w:numId w:val="30"/>
        </w:numPr>
        <w:tabs>
          <w:tab w:val="left" w:pos="851"/>
        </w:tabs>
        <w:autoSpaceDE w:val="0"/>
        <w:autoSpaceDN w:val="0"/>
        <w:adjustRightInd w:val="0"/>
        <w:ind w:left="851" w:hanging="284"/>
        <w:jc w:val="both"/>
        <w:rPr>
          <w:sz w:val="22"/>
          <w:szCs w:val="22"/>
        </w:rPr>
      </w:pPr>
      <w:r>
        <w:rPr>
          <w:b/>
          <w:sz w:val="22"/>
          <w:szCs w:val="22"/>
        </w:rPr>
        <w:t xml:space="preserve">Осведомленность о риске и уровне достаточности капитала. </w:t>
      </w:r>
      <w:r>
        <w:rPr>
          <w:sz w:val="22"/>
          <w:szCs w:val="22"/>
        </w:rPr>
        <w:t xml:space="preserve">Процесс управления рисками и капиталом затрагивает каждого сотрудника Банка. Принятие решений о проведении любой операции производится только после всестороннего анализа рисков, возникающих в результате такой операции. Сотрудники Банка, совершающие операции, подверженные рискам, осведомлены о риске операций и осуществляют идентификацию, анализ и оценку рисков (в том числе </w:t>
      </w:r>
      <w:r>
        <w:rPr>
          <w:sz w:val="22"/>
          <w:szCs w:val="22"/>
          <w:lang w:val="en-US"/>
        </w:rPr>
        <w:t>ESG</w:t>
      </w:r>
      <w:r>
        <w:rPr>
          <w:sz w:val="22"/>
          <w:szCs w:val="22"/>
        </w:rPr>
        <w:t>-риски) перед совершением операций в соответствии с внутренними нормативными документами Банка. Проведение банковских операций при отсутствии нормативных, распорядительных документов или соответствующих решений коллегиальных органов, или соответствующих решений ответственных сотрудников в рамках делегированных им полномочий, регламентирующих порядок их совершения, не допускается.</w:t>
      </w:r>
    </w:p>
    <w:p w:rsidR="00773E2C" w:rsidRDefault="00805665">
      <w:pPr>
        <w:numPr>
          <w:ilvl w:val="0"/>
          <w:numId w:val="30"/>
        </w:numPr>
        <w:tabs>
          <w:tab w:val="left" w:pos="851"/>
        </w:tabs>
        <w:autoSpaceDE w:val="0"/>
        <w:autoSpaceDN w:val="0"/>
        <w:adjustRightInd w:val="0"/>
        <w:ind w:left="851" w:hanging="284"/>
        <w:jc w:val="both"/>
        <w:rPr>
          <w:sz w:val="22"/>
          <w:szCs w:val="22"/>
        </w:rPr>
      </w:pPr>
      <w:r>
        <w:rPr>
          <w:b/>
          <w:sz w:val="22"/>
          <w:szCs w:val="22"/>
        </w:rPr>
        <w:t xml:space="preserve">Постоянное совершенствование системы управления рисками и капиталом. </w:t>
      </w:r>
      <w:r>
        <w:rPr>
          <w:sz w:val="22"/>
          <w:szCs w:val="22"/>
        </w:rPr>
        <w:t xml:space="preserve">Система управления рисками Банка соответствует уровню развития операций Банка, а также внешним условиям, нововведениям в мировой практике управления рисками и требованиям законодательства Российской Федерации. Банк постоянно совершенствует все элементы </w:t>
      </w:r>
      <w:r>
        <w:rPr>
          <w:sz w:val="22"/>
          <w:szCs w:val="22"/>
        </w:rPr>
        <w:lastRenderedPageBreak/>
        <w:t>управления рисками, включая информационные системы, процедуры и методики, с учетом стратегических задач, изменений во внешней среде, нововведений в мировой практике управления рисками.</w:t>
      </w:r>
    </w:p>
    <w:p w:rsidR="00773E2C" w:rsidRDefault="00805665">
      <w:pPr>
        <w:numPr>
          <w:ilvl w:val="0"/>
          <w:numId w:val="30"/>
        </w:numPr>
        <w:tabs>
          <w:tab w:val="left" w:pos="851"/>
        </w:tabs>
        <w:autoSpaceDE w:val="0"/>
        <w:autoSpaceDN w:val="0"/>
        <w:adjustRightInd w:val="0"/>
        <w:ind w:left="851" w:hanging="284"/>
        <w:jc w:val="both"/>
        <w:rPr>
          <w:sz w:val="22"/>
          <w:szCs w:val="22"/>
        </w:rPr>
      </w:pPr>
      <w:r>
        <w:rPr>
          <w:b/>
          <w:sz w:val="22"/>
          <w:szCs w:val="22"/>
        </w:rPr>
        <w:t xml:space="preserve">Оценка риска вложений в паи паевых инвестиционных фондов (ПИФ). </w:t>
      </w:r>
      <w:r>
        <w:rPr>
          <w:sz w:val="22"/>
          <w:szCs w:val="22"/>
        </w:rPr>
        <w:t>Риски вложений в паи ПИФ, в состав которых входят котируемые активы, оцениваются ежедневно как риски активов, составляющих имущество ПИФ.</w:t>
      </w:r>
    </w:p>
    <w:p w:rsidR="00773E2C" w:rsidRPr="00654961" w:rsidRDefault="00805665" w:rsidP="00654961">
      <w:pPr>
        <w:tabs>
          <w:tab w:val="left" w:pos="1260"/>
        </w:tabs>
        <w:ind w:firstLine="567"/>
        <w:jc w:val="both"/>
        <w:rPr>
          <w:rFonts w:eastAsia="Calibri"/>
          <w:sz w:val="22"/>
          <w:szCs w:val="22"/>
          <w:lang w:eastAsia="en-US"/>
        </w:rPr>
      </w:pPr>
      <w:r w:rsidRPr="00654961">
        <w:rPr>
          <w:rFonts w:eastAsia="Calibri"/>
          <w:sz w:val="22"/>
          <w:szCs w:val="22"/>
          <w:lang w:eastAsia="en-US"/>
        </w:rPr>
        <w:t>Эффективное управление рисками Банка в соответствии со стандартами БКБН и требованиями нормативных актов Банка России основывается на модели трех линий защиты:</w:t>
      </w:r>
    </w:p>
    <w:p w:rsidR="00773E2C" w:rsidRDefault="00805665">
      <w:pPr>
        <w:numPr>
          <w:ilvl w:val="0"/>
          <w:numId w:val="22"/>
        </w:numPr>
        <w:tabs>
          <w:tab w:val="left" w:pos="851"/>
        </w:tabs>
        <w:autoSpaceDE w:val="0"/>
        <w:autoSpaceDN w:val="0"/>
        <w:adjustRightInd w:val="0"/>
        <w:ind w:left="851" w:hanging="284"/>
        <w:jc w:val="both"/>
        <w:rPr>
          <w:sz w:val="22"/>
          <w:szCs w:val="22"/>
        </w:rPr>
      </w:pPr>
      <w:r>
        <w:rPr>
          <w:b/>
          <w:sz w:val="22"/>
          <w:szCs w:val="22"/>
        </w:rPr>
        <w:t xml:space="preserve">Первая линия защиты </w:t>
      </w:r>
      <w:r>
        <w:rPr>
          <w:sz w:val="22"/>
          <w:szCs w:val="22"/>
        </w:rPr>
        <w:t>включает в себя бизнес-подразделения, в том числе Департамент управления активами и пассивами и подразделения Банка, осуществляющие контроль и поддержку операционной деятельности Банка. Данные структурные подразделения участвуют в идентификации рисков, присущих их деятельности, а также в применении мер для снижения и мониторинга принятого уровня рисков.</w:t>
      </w:r>
    </w:p>
    <w:p w:rsidR="00773E2C" w:rsidRDefault="00805665">
      <w:pPr>
        <w:numPr>
          <w:ilvl w:val="0"/>
          <w:numId w:val="22"/>
        </w:numPr>
        <w:tabs>
          <w:tab w:val="left" w:pos="851"/>
        </w:tabs>
        <w:autoSpaceDE w:val="0"/>
        <w:autoSpaceDN w:val="0"/>
        <w:adjustRightInd w:val="0"/>
        <w:ind w:left="851" w:hanging="284"/>
        <w:jc w:val="both"/>
        <w:rPr>
          <w:sz w:val="22"/>
          <w:szCs w:val="22"/>
        </w:rPr>
      </w:pPr>
      <w:r>
        <w:rPr>
          <w:b/>
          <w:sz w:val="22"/>
          <w:szCs w:val="22"/>
        </w:rPr>
        <w:t xml:space="preserve">Вторая линия защиты </w:t>
      </w:r>
      <w:r>
        <w:rPr>
          <w:sz w:val="22"/>
          <w:szCs w:val="22"/>
        </w:rPr>
        <w:t>в Банке включает в себя подразделения, осуществляющие функции, связанные с управлением рисками и их мониторингом в рамках своих компетенций, в том числе Службу риск-менеджмента, Управление контроля рисков операций на финансовых рынках, Департамент контроля рисков корпоративного банка, Департамент управления рисками розничного бизнеса и Службу внутреннего контроля. В обязанности этих подразделений входит определение стандартов в области управления рисками, оценка рисков, мониторинг принятого уровня риска.</w:t>
      </w:r>
    </w:p>
    <w:p w:rsidR="00773E2C" w:rsidRDefault="00805665">
      <w:pPr>
        <w:numPr>
          <w:ilvl w:val="0"/>
          <w:numId w:val="22"/>
        </w:numPr>
        <w:tabs>
          <w:tab w:val="left" w:pos="851"/>
        </w:tabs>
        <w:autoSpaceDE w:val="0"/>
        <w:autoSpaceDN w:val="0"/>
        <w:adjustRightInd w:val="0"/>
        <w:ind w:left="851" w:hanging="284"/>
        <w:jc w:val="both"/>
        <w:rPr>
          <w:sz w:val="22"/>
          <w:szCs w:val="22"/>
        </w:rPr>
      </w:pPr>
      <w:r>
        <w:rPr>
          <w:b/>
          <w:sz w:val="22"/>
          <w:szCs w:val="22"/>
        </w:rPr>
        <w:t xml:space="preserve">Третья линия защиты </w:t>
      </w:r>
      <w:r>
        <w:rPr>
          <w:sz w:val="22"/>
          <w:szCs w:val="22"/>
        </w:rPr>
        <w:t>включает Службу внутреннего аудита, которая проводит независимую проверку и оценку эффективности системы внутреннего контроля, управления рисками, корпоративного управления и иных процессов Банка, и выработку рекомендаций, направленных на совершенствование указанных систем.</w:t>
      </w:r>
    </w:p>
    <w:p w:rsidR="00773E2C" w:rsidRDefault="00805665">
      <w:pPr>
        <w:ind w:firstLine="567"/>
        <w:jc w:val="both"/>
        <w:rPr>
          <w:color w:val="000000"/>
          <w:sz w:val="22"/>
          <w:szCs w:val="22"/>
        </w:rPr>
      </w:pPr>
      <w:r>
        <w:rPr>
          <w:color w:val="000000"/>
          <w:sz w:val="22"/>
          <w:szCs w:val="22"/>
        </w:rPr>
        <w:t>В процессе деятельности Банк в 2025 году осуществлял мониторинг следующих видов риска:</w:t>
      </w:r>
    </w:p>
    <w:p w:rsidR="00773E2C" w:rsidRDefault="00805665">
      <w:pPr>
        <w:numPr>
          <w:ilvl w:val="0"/>
          <w:numId w:val="32"/>
        </w:numPr>
        <w:ind w:left="924" w:hanging="357"/>
        <w:jc w:val="both"/>
        <w:rPr>
          <w:rFonts w:eastAsia="Arial Unicode MS"/>
          <w:iCs/>
          <w:sz w:val="22"/>
          <w:szCs w:val="22"/>
        </w:rPr>
      </w:pPr>
      <w:r>
        <w:rPr>
          <w:rFonts w:eastAsia="Arial Unicode MS"/>
          <w:iCs/>
          <w:sz w:val="22"/>
          <w:szCs w:val="22"/>
        </w:rPr>
        <w:t>кредитного риска, в том числе:</w:t>
      </w:r>
    </w:p>
    <w:p w:rsidR="00773E2C" w:rsidRDefault="00805665">
      <w:pPr>
        <w:numPr>
          <w:ilvl w:val="0"/>
          <w:numId w:val="33"/>
        </w:numPr>
        <w:ind w:left="1281" w:hanging="357"/>
        <w:contextualSpacing/>
        <w:jc w:val="both"/>
        <w:rPr>
          <w:rFonts w:eastAsia="Arial Unicode MS"/>
          <w:iCs/>
          <w:sz w:val="22"/>
          <w:szCs w:val="22"/>
        </w:rPr>
      </w:pPr>
      <w:r>
        <w:rPr>
          <w:rFonts w:eastAsia="Arial Unicode MS"/>
          <w:iCs/>
          <w:sz w:val="22"/>
          <w:szCs w:val="22"/>
        </w:rPr>
        <w:t>кредитного риска дефолта;</w:t>
      </w:r>
    </w:p>
    <w:p w:rsidR="00773E2C" w:rsidRDefault="00805665">
      <w:pPr>
        <w:numPr>
          <w:ilvl w:val="0"/>
          <w:numId w:val="33"/>
        </w:numPr>
        <w:spacing w:after="120"/>
        <w:ind w:left="1281" w:hanging="357"/>
        <w:contextualSpacing/>
        <w:jc w:val="both"/>
        <w:rPr>
          <w:rFonts w:eastAsia="Arial Unicode MS"/>
          <w:iCs/>
          <w:sz w:val="22"/>
          <w:szCs w:val="22"/>
        </w:rPr>
      </w:pPr>
      <w:r>
        <w:rPr>
          <w:rFonts w:eastAsia="Arial Unicode MS"/>
          <w:iCs/>
          <w:sz w:val="22"/>
          <w:szCs w:val="22"/>
        </w:rPr>
        <w:t>кредитного риска контрагента;</w:t>
      </w:r>
    </w:p>
    <w:p w:rsidR="00773E2C" w:rsidRDefault="00805665">
      <w:pPr>
        <w:numPr>
          <w:ilvl w:val="0"/>
          <w:numId w:val="33"/>
        </w:numPr>
        <w:spacing w:after="120"/>
        <w:ind w:left="1281" w:hanging="357"/>
        <w:contextualSpacing/>
        <w:jc w:val="both"/>
        <w:rPr>
          <w:rFonts w:eastAsia="Arial Unicode MS"/>
          <w:iCs/>
          <w:sz w:val="22"/>
          <w:szCs w:val="22"/>
        </w:rPr>
      </w:pPr>
      <w:r>
        <w:rPr>
          <w:rFonts w:eastAsia="Arial Unicode MS"/>
          <w:iCs/>
          <w:sz w:val="22"/>
          <w:szCs w:val="22"/>
        </w:rPr>
        <w:t>остаточного риска;</w:t>
      </w:r>
    </w:p>
    <w:p w:rsidR="00773E2C" w:rsidRDefault="00805665">
      <w:pPr>
        <w:numPr>
          <w:ilvl w:val="0"/>
          <w:numId w:val="33"/>
        </w:numPr>
        <w:spacing w:after="120"/>
        <w:ind w:left="1281" w:hanging="357"/>
        <w:contextualSpacing/>
        <w:jc w:val="both"/>
        <w:rPr>
          <w:rFonts w:eastAsia="Arial Unicode MS"/>
          <w:iCs/>
          <w:sz w:val="22"/>
          <w:szCs w:val="22"/>
        </w:rPr>
      </w:pPr>
      <w:proofErr w:type="spellStart"/>
      <w:r>
        <w:rPr>
          <w:rFonts w:eastAsia="Arial Unicode MS"/>
          <w:iCs/>
          <w:sz w:val="22"/>
          <w:szCs w:val="22"/>
        </w:rPr>
        <w:t>странового</w:t>
      </w:r>
      <w:proofErr w:type="spellEnd"/>
      <w:r>
        <w:rPr>
          <w:rFonts w:eastAsia="Arial Unicode MS"/>
          <w:iCs/>
          <w:sz w:val="22"/>
          <w:szCs w:val="22"/>
        </w:rPr>
        <w:t xml:space="preserve"> риска;</w:t>
      </w:r>
    </w:p>
    <w:p w:rsidR="00773E2C" w:rsidRDefault="00805665">
      <w:pPr>
        <w:numPr>
          <w:ilvl w:val="0"/>
          <w:numId w:val="33"/>
        </w:numPr>
        <w:spacing w:after="120"/>
        <w:ind w:left="1281" w:hanging="357"/>
        <w:contextualSpacing/>
        <w:jc w:val="both"/>
        <w:rPr>
          <w:rFonts w:eastAsia="Arial Unicode MS"/>
          <w:iCs/>
          <w:sz w:val="22"/>
          <w:szCs w:val="22"/>
        </w:rPr>
      </w:pPr>
      <w:r>
        <w:rPr>
          <w:rFonts w:eastAsia="Arial Unicode MS"/>
          <w:iCs/>
          <w:sz w:val="22"/>
          <w:szCs w:val="22"/>
        </w:rPr>
        <w:t xml:space="preserve">риска </w:t>
      </w:r>
      <w:proofErr w:type="spellStart"/>
      <w:r>
        <w:rPr>
          <w:rFonts w:eastAsia="Arial Unicode MS"/>
          <w:iCs/>
          <w:sz w:val="22"/>
          <w:szCs w:val="22"/>
        </w:rPr>
        <w:t>секьюритизации</w:t>
      </w:r>
      <w:proofErr w:type="spellEnd"/>
      <w:r>
        <w:rPr>
          <w:rFonts w:eastAsia="Arial Unicode MS"/>
          <w:iCs/>
          <w:sz w:val="22"/>
          <w:szCs w:val="22"/>
        </w:rPr>
        <w:t>;</w:t>
      </w:r>
    </w:p>
    <w:p w:rsidR="00773E2C" w:rsidRDefault="00805665">
      <w:pPr>
        <w:numPr>
          <w:ilvl w:val="0"/>
          <w:numId w:val="32"/>
        </w:numPr>
        <w:spacing w:after="120"/>
        <w:ind w:left="924" w:hanging="357"/>
        <w:contextualSpacing/>
        <w:jc w:val="both"/>
        <w:rPr>
          <w:rFonts w:eastAsia="Arial Unicode MS"/>
          <w:iCs/>
          <w:sz w:val="22"/>
          <w:szCs w:val="22"/>
        </w:rPr>
      </w:pPr>
      <w:r>
        <w:rPr>
          <w:rFonts w:eastAsia="Arial Unicode MS"/>
          <w:iCs/>
          <w:sz w:val="22"/>
          <w:szCs w:val="22"/>
        </w:rPr>
        <w:t>риска концентрации в кредитном риске;</w:t>
      </w:r>
    </w:p>
    <w:p w:rsidR="00773E2C" w:rsidRDefault="00805665">
      <w:pPr>
        <w:numPr>
          <w:ilvl w:val="0"/>
          <w:numId w:val="32"/>
        </w:numPr>
        <w:spacing w:after="120"/>
        <w:ind w:left="924" w:hanging="357"/>
        <w:contextualSpacing/>
        <w:jc w:val="both"/>
        <w:rPr>
          <w:rFonts w:eastAsia="Arial Unicode MS"/>
          <w:iCs/>
          <w:sz w:val="22"/>
          <w:szCs w:val="22"/>
        </w:rPr>
      </w:pPr>
      <w:r>
        <w:rPr>
          <w:rFonts w:eastAsia="Arial Unicode MS"/>
          <w:iCs/>
          <w:sz w:val="22"/>
          <w:szCs w:val="22"/>
        </w:rPr>
        <w:t>рыночного риска, в том числе:</w:t>
      </w:r>
    </w:p>
    <w:p w:rsidR="00773E2C" w:rsidRDefault="00805665">
      <w:pPr>
        <w:numPr>
          <w:ilvl w:val="0"/>
          <w:numId w:val="33"/>
        </w:numPr>
        <w:spacing w:after="120"/>
        <w:ind w:left="1281" w:hanging="357"/>
        <w:contextualSpacing/>
        <w:jc w:val="both"/>
        <w:rPr>
          <w:rFonts w:eastAsia="Arial Unicode MS"/>
          <w:iCs/>
          <w:sz w:val="22"/>
          <w:szCs w:val="22"/>
        </w:rPr>
      </w:pPr>
      <w:r>
        <w:rPr>
          <w:rFonts w:eastAsia="Arial Unicode MS"/>
          <w:iCs/>
          <w:sz w:val="22"/>
          <w:szCs w:val="22"/>
        </w:rPr>
        <w:t>процентного риска торговой книги;</w:t>
      </w:r>
    </w:p>
    <w:p w:rsidR="00773E2C" w:rsidRDefault="00805665">
      <w:pPr>
        <w:numPr>
          <w:ilvl w:val="0"/>
          <w:numId w:val="33"/>
        </w:numPr>
        <w:spacing w:after="120"/>
        <w:ind w:left="1281" w:hanging="357"/>
        <w:contextualSpacing/>
        <w:jc w:val="both"/>
        <w:rPr>
          <w:rFonts w:eastAsia="Arial Unicode MS"/>
          <w:iCs/>
          <w:sz w:val="22"/>
          <w:szCs w:val="22"/>
        </w:rPr>
      </w:pPr>
      <w:r>
        <w:rPr>
          <w:rFonts w:eastAsia="Arial Unicode MS"/>
          <w:iCs/>
          <w:sz w:val="22"/>
          <w:szCs w:val="22"/>
        </w:rPr>
        <w:t>фондового риска;</w:t>
      </w:r>
    </w:p>
    <w:p w:rsidR="00773E2C" w:rsidRDefault="00805665">
      <w:pPr>
        <w:numPr>
          <w:ilvl w:val="0"/>
          <w:numId w:val="33"/>
        </w:numPr>
        <w:spacing w:after="120"/>
        <w:ind w:left="1281" w:hanging="357"/>
        <w:contextualSpacing/>
        <w:jc w:val="both"/>
        <w:rPr>
          <w:rFonts w:eastAsia="Arial Unicode MS"/>
          <w:iCs/>
          <w:sz w:val="22"/>
          <w:szCs w:val="22"/>
        </w:rPr>
      </w:pPr>
      <w:r>
        <w:rPr>
          <w:rFonts w:eastAsia="Arial Unicode MS"/>
          <w:iCs/>
          <w:sz w:val="22"/>
          <w:szCs w:val="22"/>
        </w:rPr>
        <w:t>валютного риска;</w:t>
      </w:r>
    </w:p>
    <w:p w:rsidR="00773E2C" w:rsidRDefault="00805665">
      <w:pPr>
        <w:numPr>
          <w:ilvl w:val="0"/>
          <w:numId w:val="33"/>
        </w:numPr>
        <w:spacing w:after="120"/>
        <w:ind w:left="1281" w:hanging="357"/>
        <w:contextualSpacing/>
        <w:jc w:val="both"/>
        <w:rPr>
          <w:rFonts w:eastAsia="Arial Unicode MS"/>
          <w:iCs/>
          <w:sz w:val="22"/>
          <w:szCs w:val="22"/>
        </w:rPr>
      </w:pPr>
      <w:r>
        <w:rPr>
          <w:rFonts w:eastAsia="Arial Unicode MS"/>
          <w:iCs/>
          <w:sz w:val="22"/>
          <w:szCs w:val="22"/>
        </w:rPr>
        <w:t>товарного риска;</w:t>
      </w:r>
    </w:p>
    <w:p w:rsidR="00773E2C" w:rsidRDefault="00805665">
      <w:pPr>
        <w:numPr>
          <w:ilvl w:val="0"/>
          <w:numId w:val="33"/>
        </w:numPr>
        <w:spacing w:after="120"/>
        <w:ind w:left="1281" w:hanging="357"/>
        <w:contextualSpacing/>
        <w:jc w:val="both"/>
        <w:rPr>
          <w:rFonts w:eastAsia="Arial Unicode MS"/>
          <w:iCs/>
          <w:sz w:val="22"/>
          <w:szCs w:val="22"/>
        </w:rPr>
      </w:pPr>
      <w:r>
        <w:rPr>
          <w:rFonts w:eastAsia="Arial Unicode MS"/>
          <w:iCs/>
          <w:sz w:val="22"/>
          <w:szCs w:val="22"/>
        </w:rPr>
        <w:t>риска концентрации в рыночном риске;</w:t>
      </w:r>
    </w:p>
    <w:p w:rsidR="00773E2C" w:rsidRDefault="00805665">
      <w:pPr>
        <w:numPr>
          <w:ilvl w:val="0"/>
          <w:numId w:val="32"/>
        </w:numPr>
        <w:spacing w:after="200"/>
        <w:ind w:left="924" w:hanging="357"/>
        <w:contextualSpacing/>
        <w:jc w:val="both"/>
        <w:rPr>
          <w:rFonts w:eastAsia="Arial Unicode MS"/>
          <w:iCs/>
          <w:sz w:val="22"/>
          <w:szCs w:val="22"/>
        </w:rPr>
      </w:pPr>
      <w:r>
        <w:rPr>
          <w:rFonts w:eastAsia="Arial Unicode MS"/>
          <w:iCs/>
          <w:sz w:val="22"/>
          <w:szCs w:val="22"/>
        </w:rPr>
        <w:t>операционного риска, в том числе:</w:t>
      </w:r>
    </w:p>
    <w:p w:rsidR="00773E2C" w:rsidRDefault="00805665">
      <w:pPr>
        <w:numPr>
          <w:ilvl w:val="0"/>
          <w:numId w:val="34"/>
        </w:numPr>
        <w:spacing w:after="200"/>
        <w:ind w:left="1276" w:hanging="357"/>
        <w:contextualSpacing/>
        <w:jc w:val="both"/>
        <w:rPr>
          <w:rFonts w:eastAsia="Arial Unicode MS"/>
          <w:iCs/>
          <w:sz w:val="22"/>
          <w:szCs w:val="22"/>
        </w:rPr>
      </w:pPr>
      <w:r>
        <w:rPr>
          <w:rFonts w:eastAsia="Arial Unicode MS"/>
          <w:iCs/>
          <w:sz w:val="22"/>
          <w:szCs w:val="22"/>
        </w:rPr>
        <w:t>правового риска;</w:t>
      </w:r>
    </w:p>
    <w:p w:rsidR="00773E2C" w:rsidRDefault="00805665">
      <w:pPr>
        <w:numPr>
          <w:ilvl w:val="0"/>
          <w:numId w:val="34"/>
        </w:numPr>
        <w:spacing w:after="200"/>
        <w:ind w:left="1276" w:hanging="357"/>
        <w:contextualSpacing/>
        <w:jc w:val="both"/>
        <w:rPr>
          <w:rFonts w:eastAsia="Arial Unicode MS"/>
          <w:iCs/>
          <w:sz w:val="22"/>
          <w:szCs w:val="22"/>
        </w:rPr>
      </w:pPr>
      <w:r>
        <w:rPr>
          <w:rFonts w:eastAsia="Arial Unicode MS"/>
          <w:iCs/>
          <w:sz w:val="22"/>
          <w:szCs w:val="22"/>
        </w:rPr>
        <w:t>риска информационной безопасности;</w:t>
      </w:r>
    </w:p>
    <w:p w:rsidR="00773E2C" w:rsidRDefault="00805665">
      <w:pPr>
        <w:numPr>
          <w:ilvl w:val="0"/>
          <w:numId w:val="34"/>
        </w:numPr>
        <w:spacing w:after="200"/>
        <w:ind w:left="1276" w:hanging="357"/>
        <w:contextualSpacing/>
        <w:jc w:val="both"/>
        <w:rPr>
          <w:rFonts w:eastAsia="Arial Unicode MS"/>
          <w:iCs/>
          <w:sz w:val="22"/>
          <w:szCs w:val="22"/>
        </w:rPr>
      </w:pPr>
      <w:r>
        <w:rPr>
          <w:rFonts w:eastAsia="Arial Unicode MS"/>
          <w:iCs/>
          <w:sz w:val="22"/>
          <w:szCs w:val="22"/>
        </w:rPr>
        <w:t>риска информационных систем</w:t>
      </w:r>
      <w:r>
        <w:rPr>
          <w:rFonts w:eastAsia="Arial Unicode MS"/>
          <w:iCs/>
          <w:sz w:val="22"/>
          <w:szCs w:val="22"/>
          <w:lang w:val="en-US"/>
        </w:rPr>
        <w:t>;</w:t>
      </w:r>
    </w:p>
    <w:p w:rsidR="00773E2C" w:rsidRDefault="00805665">
      <w:pPr>
        <w:numPr>
          <w:ilvl w:val="0"/>
          <w:numId w:val="32"/>
        </w:numPr>
        <w:spacing w:after="200"/>
        <w:ind w:left="924" w:hanging="357"/>
        <w:contextualSpacing/>
        <w:jc w:val="both"/>
        <w:rPr>
          <w:rFonts w:eastAsia="Arial Unicode MS"/>
          <w:iCs/>
          <w:sz w:val="22"/>
          <w:szCs w:val="22"/>
        </w:rPr>
      </w:pPr>
      <w:r>
        <w:rPr>
          <w:rFonts w:eastAsia="Arial Unicode MS"/>
          <w:iCs/>
          <w:sz w:val="22"/>
          <w:szCs w:val="22"/>
        </w:rPr>
        <w:t>риска ликвидности, в том числе:</w:t>
      </w:r>
    </w:p>
    <w:p w:rsidR="00773E2C" w:rsidRDefault="00805665">
      <w:pPr>
        <w:numPr>
          <w:ilvl w:val="0"/>
          <w:numId w:val="33"/>
        </w:numPr>
        <w:spacing w:after="120"/>
        <w:ind w:left="1281" w:hanging="357"/>
        <w:contextualSpacing/>
        <w:jc w:val="both"/>
        <w:rPr>
          <w:rFonts w:eastAsia="Arial Unicode MS"/>
          <w:iCs/>
          <w:sz w:val="22"/>
          <w:szCs w:val="22"/>
        </w:rPr>
      </w:pPr>
      <w:r>
        <w:rPr>
          <w:rFonts w:eastAsia="Arial Unicode MS"/>
          <w:iCs/>
          <w:sz w:val="22"/>
          <w:szCs w:val="22"/>
        </w:rPr>
        <w:t>риска концентрации источников риска ликвидности;</w:t>
      </w:r>
    </w:p>
    <w:p w:rsidR="00773E2C" w:rsidRDefault="00805665">
      <w:pPr>
        <w:numPr>
          <w:ilvl w:val="0"/>
          <w:numId w:val="32"/>
        </w:numPr>
        <w:spacing w:after="120"/>
        <w:ind w:left="924" w:hanging="357"/>
        <w:contextualSpacing/>
        <w:jc w:val="both"/>
        <w:rPr>
          <w:rFonts w:eastAsia="Arial Unicode MS"/>
          <w:iCs/>
          <w:sz w:val="22"/>
          <w:szCs w:val="22"/>
        </w:rPr>
      </w:pPr>
      <w:r>
        <w:rPr>
          <w:rFonts w:eastAsia="Arial Unicode MS"/>
          <w:iCs/>
          <w:sz w:val="22"/>
          <w:szCs w:val="22"/>
        </w:rPr>
        <w:t>процентного риска банковской книги;</w:t>
      </w:r>
    </w:p>
    <w:p w:rsidR="00773E2C" w:rsidRDefault="00805665">
      <w:pPr>
        <w:numPr>
          <w:ilvl w:val="0"/>
          <w:numId w:val="32"/>
        </w:numPr>
        <w:spacing w:after="120"/>
        <w:ind w:left="924" w:hanging="357"/>
        <w:contextualSpacing/>
        <w:jc w:val="both"/>
        <w:rPr>
          <w:rFonts w:eastAsia="Arial Unicode MS"/>
          <w:iCs/>
          <w:sz w:val="22"/>
          <w:szCs w:val="22"/>
        </w:rPr>
      </w:pPr>
      <w:r>
        <w:rPr>
          <w:rFonts w:eastAsia="Arial Unicode MS"/>
          <w:iCs/>
          <w:sz w:val="22"/>
          <w:szCs w:val="22"/>
        </w:rPr>
        <w:t>риска снижения стоимости неторговых долевых инвестиций (кроме вложений в закрытые паевые инвестиционные фонды (ЗПИФ));</w:t>
      </w:r>
    </w:p>
    <w:p w:rsidR="00773E2C" w:rsidRDefault="00805665">
      <w:pPr>
        <w:numPr>
          <w:ilvl w:val="0"/>
          <w:numId w:val="32"/>
        </w:numPr>
        <w:spacing w:after="120"/>
        <w:ind w:left="924" w:hanging="357"/>
        <w:contextualSpacing/>
        <w:jc w:val="both"/>
        <w:rPr>
          <w:rFonts w:eastAsia="Arial Unicode MS"/>
          <w:iCs/>
          <w:sz w:val="22"/>
          <w:szCs w:val="22"/>
        </w:rPr>
      </w:pPr>
      <w:r>
        <w:rPr>
          <w:rFonts w:eastAsia="Arial Unicode MS"/>
          <w:iCs/>
          <w:sz w:val="22"/>
          <w:szCs w:val="22"/>
        </w:rPr>
        <w:t>риска снижения стоимости недвижимости и вложения в ЗПИФ;</w:t>
      </w:r>
    </w:p>
    <w:p w:rsidR="00773E2C" w:rsidRDefault="00805665">
      <w:pPr>
        <w:numPr>
          <w:ilvl w:val="0"/>
          <w:numId w:val="32"/>
        </w:numPr>
        <w:spacing w:after="120"/>
        <w:ind w:left="924" w:hanging="357"/>
        <w:contextualSpacing/>
        <w:jc w:val="both"/>
        <w:rPr>
          <w:rFonts w:eastAsia="Arial Unicode MS"/>
          <w:iCs/>
          <w:sz w:val="22"/>
          <w:szCs w:val="22"/>
        </w:rPr>
      </w:pPr>
      <w:proofErr w:type="spellStart"/>
      <w:r>
        <w:rPr>
          <w:rFonts w:eastAsia="Arial Unicode MS"/>
          <w:iCs/>
          <w:sz w:val="22"/>
          <w:szCs w:val="22"/>
        </w:rPr>
        <w:t>репутационного</w:t>
      </w:r>
      <w:proofErr w:type="spellEnd"/>
      <w:r>
        <w:rPr>
          <w:rFonts w:eastAsia="Arial Unicode MS"/>
          <w:iCs/>
          <w:sz w:val="22"/>
          <w:szCs w:val="22"/>
        </w:rPr>
        <w:t xml:space="preserve"> риска;</w:t>
      </w:r>
    </w:p>
    <w:p w:rsidR="00773E2C" w:rsidRDefault="00805665">
      <w:pPr>
        <w:numPr>
          <w:ilvl w:val="0"/>
          <w:numId w:val="32"/>
        </w:numPr>
        <w:spacing w:after="120"/>
        <w:ind w:left="924" w:hanging="357"/>
        <w:contextualSpacing/>
        <w:jc w:val="both"/>
        <w:rPr>
          <w:rFonts w:eastAsia="Arial Unicode MS"/>
          <w:iCs/>
          <w:sz w:val="22"/>
          <w:szCs w:val="22"/>
        </w:rPr>
      </w:pPr>
      <w:r>
        <w:rPr>
          <w:rFonts w:eastAsia="Arial Unicode MS"/>
          <w:iCs/>
          <w:sz w:val="22"/>
          <w:szCs w:val="22"/>
        </w:rPr>
        <w:t>регуляторного (</w:t>
      </w:r>
      <w:proofErr w:type="spellStart"/>
      <w:r>
        <w:rPr>
          <w:rFonts w:eastAsia="Arial Unicode MS"/>
          <w:iCs/>
          <w:sz w:val="22"/>
          <w:szCs w:val="22"/>
        </w:rPr>
        <w:t>комплаенс</w:t>
      </w:r>
      <w:proofErr w:type="spellEnd"/>
      <w:r>
        <w:rPr>
          <w:rFonts w:eastAsia="Arial Unicode MS"/>
          <w:iCs/>
          <w:sz w:val="22"/>
          <w:szCs w:val="22"/>
        </w:rPr>
        <w:t>) риска;</w:t>
      </w:r>
    </w:p>
    <w:p w:rsidR="00773E2C" w:rsidRDefault="00805665">
      <w:pPr>
        <w:numPr>
          <w:ilvl w:val="0"/>
          <w:numId w:val="32"/>
        </w:numPr>
        <w:spacing w:after="120"/>
        <w:ind w:left="924" w:hanging="357"/>
        <w:contextualSpacing/>
        <w:jc w:val="both"/>
        <w:rPr>
          <w:rFonts w:eastAsia="Arial Unicode MS"/>
          <w:iCs/>
          <w:sz w:val="22"/>
          <w:szCs w:val="22"/>
        </w:rPr>
      </w:pPr>
      <w:r>
        <w:rPr>
          <w:rFonts w:eastAsia="Arial Unicode MS"/>
          <w:iCs/>
          <w:sz w:val="22"/>
          <w:szCs w:val="22"/>
        </w:rPr>
        <w:t>стратегического риска;</w:t>
      </w:r>
    </w:p>
    <w:p w:rsidR="00773E2C" w:rsidRDefault="00805665">
      <w:pPr>
        <w:numPr>
          <w:ilvl w:val="0"/>
          <w:numId w:val="32"/>
        </w:numPr>
        <w:spacing w:after="120"/>
        <w:ind w:left="924" w:hanging="357"/>
        <w:contextualSpacing/>
        <w:jc w:val="both"/>
        <w:rPr>
          <w:rFonts w:eastAsia="Arial Unicode MS"/>
          <w:iCs/>
          <w:sz w:val="22"/>
          <w:szCs w:val="22"/>
        </w:rPr>
      </w:pPr>
      <w:r>
        <w:rPr>
          <w:rFonts w:eastAsia="Arial Unicode MS"/>
          <w:iCs/>
          <w:sz w:val="22"/>
          <w:szCs w:val="22"/>
        </w:rPr>
        <w:t>бизнес-риска;</w:t>
      </w:r>
    </w:p>
    <w:p w:rsidR="00773E2C" w:rsidRDefault="00805665">
      <w:pPr>
        <w:numPr>
          <w:ilvl w:val="0"/>
          <w:numId w:val="32"/>
        </w:numPr>
        <w:spacing w:after="120"/>
        <w:ind w:left="924" w:hanging="357"/>
        <w:contextualSpacing/>
        <w:jc w:val="both"/>
        <w:rPr>
          <w:rFonts w:eastAsia="Arial Unicode MS"/>
          <w:iCs/>
          <w:sz w:val="22"/>
          <w:szCs w:val="22"/>
        </w:rPr>
      </w:pPr>
      <w:r>
        <w:rPr>
          <w:rFonts w:eastAsia="Arial Unicode MS"/>
          <w:iCs/>
          <w:sz w:val="22"/>
          <w:szCs w:val="22"/>
        </w:rPr>
        <w:t>модельного риска;</w:t>
      </w:r>
    </w:p>
    <w:p w:rsidR="00773E2C" w:rsidRDefault="00805665">
      <w:pPr>
        <w:numPr>
          <w:ilvl w:val="0"/>
          <w:numId w:val="32"/>
        </w:numPr>
        <w:spacing w:after="120"/>
        <w:ind w:left="924" w:hanging="357"/>
        <w:contextualSpacing/>
        <w:jc w:val="both"/>
        <w:rPr>
          <w:rFonts w:eastAsia="Arial Unicode MS"/>
          <w:iCs/>
          <w:sz w:val="22"/>
          <w:szCs w:val="22"/>
        </w:rPr>
      </w:pPr>
      <w:r>
        <w:rPr>
          <w:rFonts w:eastAsia="Arial Unicode MS"/>
          <w:iCs/>
          <w:sz w:val="22"/>
          <w:szCs w:val="22"/>
        </w:rPr>
        <w:t>технологического риска;</w:t>
      </w:r>
    </w:p>
    <w:p w:rsidR="00773E2C" w:rsidRDefault="00805665">
      <w:pPr>
        <w:numPr>
          <w:ilvl w:val="0"/>
          <w:numId w:val="32"/>
        </w:numPr>
        <w:ind w:left="924" w:hanging="357"/>
        <w:jc w:val="both"/>
        <w:rPr>
          <w:rFonts w:eastAsia="Arial Unicode MS"/>
          <w:iCs/>
          <w:sz w:val="22"/>
          <w:szCs w:val="22"/>
        </w:rPr>
      </w:pPr>
      <w:r>
        <w:rPr>
          <w:rFonts w:eastAsia="Arial Unicode MS"/>
          <w:iCs/>
          <w:sz w:val="22"/>
          <w:szCs w:val="22"/>
        </w:rPr>
        <w:t>экологического риска.</w:t>
      </w:r>
    </w:p>
    <w:p w:rsidR="00773E2C" w:rsidRDefault="00805665">
      <w:pPr>
        <w:ind w:firstLine="567"/>
        <w:jc w:val="both"/>
        <w:rPr>
          <w:color w:val="000000"/>
          <w:sz w:val="22"/>
          <w:szCs w:val="22"/>
        </w:rPr>
      </w:pPr>
      <w:r>
        <w:rPr>
          <w:color w:val="000000"/>
          <w:sz w:val="22"/>
          <w:szCs w:val="22"/>
        </w:rPr>
        <w:t>В рамках Стратегии управления рисками и капиталом ПАО «БАНК УРАЛСИБ» в 2025 году к значимым рискам отнесены следующие:</w:t>
      </w:r>
    </w:p>
    <w:p w:rsidR="00773E2C" w:rsidRDefault="00805665">
      <w:pPr>
        <w:numPr>
          <w:ilvl w:val="0"/>
          <w:numId w:val="35"/>
        </w:numPr>
        <w:jc w:val="both"/>
        <w:rPr>
          <w:rFonts w:eastAsia="Arial Unicode MS"/>
          <w:iCs/>
          <w:sz w:val="22"/>
          <w:szCs w:val="22"/>
        </w:rPr>
      </w:pPr>
      <w:r>
        <w:rPr>
          <w:rFonts w:eastAsia="Arial Unicode MS"/>
          <w:iCs/>
          <w:sz w:val="22"/>
          <w:szCs w:val="22"/>
        </w:rPr>
        <w:lastRenderedPageBreak/>
        <w:t>кредитный риск (в том числе кредитный риск дефолта, остаточный риск, кредитный риск контрагента), риск концентрации в кредитном риске;</w:t>
      </w:r>
    </w:p>
    <w:p w:rsidR="00773E2C" w:rsidRDefault="00805665">
      <w:pPr>
        <w:numPr>
          <w:ilvl w:val="0"/>
          <w:numId w:val="35"/>
        </w:numPr>
        <w:jc w:val="both"/>
        <w:rPr>
          <w:rFonts w:eastAsia="Arial Unicode MS"/>
          <w:iCs/>
          <w:sz w:val="22"/>
          <w:szCs w:val="22"/>
        </w:rPr>
      </w:pPr>
      <w:r>
        <w:rPr>
          <w:rFonts w:eastAsia="Arial Unicode MS"/>
          <w:iCs/>
          <w:sz w:val="22"/>
          <w:szCs w:val="22"/>
        </w:rPr>
        <w:t>рыночный (в том числе процентный риск торговой книги);</w:t>
      </w:r>
    </w:p>
    <w:p w:rsidR="00773E2C" w:rsidRDefault="00805665">
      <w:pPr>
        <w:numPr>
          <w:ilvl w:val="0"/>
          <w:numId w:val="35"/>
        </w:numPr>
        <w:jc w:val="both"/>
        <w:rPr>
          <w:rFonts w:eastAsia="Arial Unicode MS"/>
          <w:iCs/>
          <w:sz w:val="22"/>
          <w:szCs w:val="22"/>
        </w:rPr>
      </w:pPr>
      <w:r>
        <w:rPr>
          <w:rFonts w:eastAsia="Arial Unicode MS"/>
          <w:iCs/>
          <w:sz w:val="22"/>
          <w:szCs w:val="22"/>
        </w:rPr>
        <w:t>операционный риск;</w:t>
      </w:r>
    </w:p>
    <w:p w:rsidR="00773E2C" w:rsidRDefault="00805665">
      <w:pPr>
        <w:numPr>
          <w:ilvl w:val="0"/>
          <w:numId w:val="35"/>
        </w:numPr>
        <w:jc w:val="both"/>
        <w:rPr>
          <w:rFonts w:eastAsia="Arial Unicode MS"/>
          <w:iCs/>
          <w:sz w:val="22"/>
          <w:szCs w:val="22"/>
        </w:rPr>
      </w:pPr>
      <w:r>
        <w:rPr>
          <w:rFonts w:eastAsia="Arial Unicode MS"/>
          <w:iCs/>
          <w:sz w:val="22"/>
          <w:szCs w:val="22"/>
        </w:rPr>
        <w:t>риск ликвидности;</w:t>
      </w:r>
    </w:p>
    <w:p w:rsidR="00773E2C" w:rsidRDefault="00805665">
      <w:pPr>
        <w:numPr>
          <w:ilvl w:val="0"/>
          <w:numId w:val="35"/>
        </w:numPr>
        <w:jc w:val="both"/>
        <w:rPr>
          <w:rFonts w:eastAsia="Arial Unicode MS"/>
          <w:iCs/>
          <w:sz w:val="22"/>
          <w:szCs w:val="22"/>
        </w:rPr>
      </w:pPr>
      <w:r>
        <w:rPr>
          <w:rFonts w:eastAsia="Arial Unicode MS"/>
          <w:iCs/>
          <w:sz w:val="22"/>
          <w:szCs w:val="22"/>
        </w:rPr>
        <w:t>процентный риск банковской книги;</w:t>
      </w:r>
    </w:p>
    <w:p w:rsidR="00773E2C" w:rsidRDefault="00805665">
      <w:pPr>
        <w:numPr>
          <w:ilvl w:val="0"/>
          <w:numId w:val="35"/>
        </w:numPr>
        <w:jc w:val="both"/>
        <w:rPr>
          <w:rFonts w:eastAsia="Arial Unicode MS"/>
          <w:iCs/>
          <w:sz w:val="22"/>
          <w:szCs w:val="22"/>
        </w:rPr>
      </w:pPr>
      <w:proofErr w:type="spellStart"/>
      <w:r>
        <w:rPr>
          <w:rFonts w:eastAsia="Arial Unicode MS"/>
          <w:iCs/>
          <w:sz w:val="22"/>
          <w:szCs w:val="22"/>
        </w:rPr>
        <w:t>репутационный</w:t>
      </w:r>
      <w:proofErr w:type="spellEnd"/>
      <w:r>
        <w:rPr>
          <w:rFonts w:eastAsia="Arial Unicode MS"/>
          <w:iCs/>
          <w:sz w:val="22"/>
          <w:szCs w:val="22"/>
        </w:rPr>
        <w:t xml:space="preserve"> риск;</w:t>
      </w:r>
    </w:p>
    <w:p w:rsidR="00773E2C" w:rsidRDefault="00805665">
      <w:pPr>
        <w:numPr>
          <w:ilvl w:val="0"/>
          <w:numId w:val="35"/>
        </w:numPr>
        <w:jc w:val="both"/>
        <w:rPr>
          <w:rFonts w:eastAsia="Arial Unicode MS"/>
          <w:iCs/>
          <w:sz w:val="22"/>
          <w:szCs w:val="22"/>
        </w:rPr>
      </w:pPr>
      <w:r>
        <w:rPr>
          <w:rFonts w:eastAsia="Arial Unicode MS"/>
          <w:iCs/>
          <w:sz w:val="22"/>
          <w:szCs w:val="22"/>
        </w:rPr>
        <w:t>регуляторный (</w:t>
      </w:r>
      <w:proofErr w:type="spellStart"/>
      <w:r>
        <w:rPr>
          <w:rFonts w:eastAsia="Arial Unicode MS"/>
          <w:iCs/>
          <w:sz w:val="22"/>
          <w:szCs w:val="22"/>
        </w:rPr>
        <w:t>комплаенс</w:t>
      </w:r>
      <w:proofErr w:type="spellEnd"/>
      <w:r>
        <w:rPr>
          <w:rFonts w:eastAsia="Arial Unicode MS"/>
          <w:iCs/>
          <w:sz w:val="22"/>
          <w:szCs w:val="22"/>
        </w:rPr>
        <w:t>) риск;</w:t>
      </w:r>
    </w:p>
    <w:p w:rsidR="00773E2C" w:rsidRDefault="00805665">
      <w:pPr>
        <w:numPr>
          <w:ilvl w:val="0"/>
          <w:numId w:val="35"/>
        </w:numPr>
        <w:jc w:val="both"/>
        <w:rPr>
          <w:rFonts w:eastAsia="Arial Unicode MS"/>
          <w:iCs/>
          <w:sz w:val="22"/>
          <w:szCs w:val="22"/>
        </w:rPr>
      </w:pPr>
      <w:r>
        <w:rPr>
          <w:rFonts w:eastAsia="Arial Unicode MS"/>
          <w:iCs/>
          <w:sz w:val="22"/>
          <w:szCs w:val="22"/>
        </w:rPr>
        <w:t>модельный риск.</w:t>
      </w:r>
    </w:p>
    <w:p w:rsidR="00773E2C" w:rsidRDefault="00805665">
      <w:pPr>
        <w:ind w:firstLine="567"/>
        <w:jc w:val="both"/>
        <w:rPr>
          <w:color w:val="000000"/>
          <w:sz w:val="22"/>
          <w:szCs w:val="22"/>
        </w:rPr>
      </w:pPr>
      <w:r>
        <w:rPr>
          <w:color w:val="000000"/>
          <w:sz w:val="22"/>
          <w:szCs w:val="22"/>
        </w:rPr>
        <w:t>Для всех значимых рисков установлены методы и процедуры управления ими, определена методология оценки каждого вида риска и методы, используемые для снижения риска, установлены риск-метрики, характеризующие склонность к риску, и система их контроля.</w:t>
      </w:r>
    </w:p>
    <w:p w:rsidR="00773E2C" w:rsidRDefault="00805665">
      <w:pPr>
        <w:ind w:firstLine="567"/>
        <w:jc w:val="both"/>
        <w:rPr>
          <w:color w:val="000000"/>
          <w:sz w:val="22"/>
          <w:szCs w:val="22"/>
        </w:rPr>
      </w:pPr>
      <w:r>
        <w:rPr>
          <w:color w:val="000000"/>
          <w:sz w:val="22"/>
          <w:szCs w:val="22"/>
        </w:rPr>
        <w:t>В рамках оценки достаточности капитала в соответствии с требованиями Банка России и на базе рекомендаций БКБН для всех значимых рисков, оцениваемых количественно, разработана и утверждена методология оценки экономического капитала. Для значимых неколичественных рисков создается буфер капитала на покрытие убытков от их реализации.</w:t>
      </w:r>
    </w:p>
    <w:p w:rsidR="00773E2C" w:rsidRDefault="00805665">
      <w:pPr>
        <w:ind w:firstLine="567"/>
        <w:jc w:val="both"/>
        <w:rPr>
          <w:color w:val="000000"/>
          <w:sz w:val="22"/>
          <w:szCs w:val="22"/>
        </w:rPr>
      </w:pPr>
      <w:r>
        <w:rPr>
          <w:color w:val="000000"/>
          <w:sz w:val="22"/>
          <w:szCs w:val="22"/>
        </w:rPr>
        <w:t>В рамках оценки достаточности капитала не реже одного раза в год Банк проводит интегральное стресс-тестирование, охватывающее все значимые риски, оцениваемые количественно. Интегральное стресс-тестирование позволяет оценивать потенциальное влияние негативных (стрессовых) изменений макроэкономических параметров на уровень значимых рисков и достаточность регуляторного и экономического капитала Банка. Банк регулярно (не реже одного раза в год) осуществляет оценку рассматриваемых сценариев, качества используемых данных и допущений, соответствия полученных результатов стресс-тестирования установленным целям.</w:t>
      </w:r>
    </w:p>
    <w:p w:rsidR="00773E2C" w:rsidRDefault="00773E2C">
      <w:pPr>
        <w:ind w:firstLine="567"/>
        <w:jc w:val="both"/>
        <w:rPr>
          <w:color w:val="000000"/>
          <w:sz w:val="22"/>
          <w:szCs w:val="22"/>
        </w:rPr>
      </w:pPr>
    </w:p>
    <w:p w:rsidR="00773E2C" w:rsidRDefault="00805665">
      <w:pPr>
        <w:keepNext/>
        <w:ind w:firstLine="567"/>
        <w:jc w:val="both"/>
        <w:outlineLvl w:val="1"/>
        <w:rPr>
          <w:b/>
          <w:bCs/>
          <w:sz w:val="22"/>
          <w:szCs w:val="22"/>
        </w:rPr>
      </w:pPr>
      <w:bookmarkStart w:id="25" w:name="_Toc229052197"/>
      <w:r>
        <w:rPr>
          <w:b/>
          <w:bCs/>
          <w:sz w:val="22"/>
          <w:szCs w:val="22"/>
        </w:rPr>
        <w:t>4.8. Система внутреннего контроля</w:t>
      </w:r>
      <w:bookmarkEnd w:id="25"/>
    </w:p>
    <w:p w:rsidR="00773E2C" w:rsidRDefault="00773E2C">
      <w:pPr>
        <w:ind w:firstLine="567"/>
        <w:jc w:val="both"/>
        <w:rPr>
          <w:color w:val="000000"/>
          <w:sz w:val="22"/>
          <w:szCs w:val="22"/>
        </w:rPr>
      </w:pPr>
    </w:p>
    <w:p w:rsidR="00773E2C" w:rsidRDefault="00805665">
      <w:pPr>
        <w:ind w:firstLine="567"/>
        <w:jc w:val="both"/>
        <w:rPr>
          <w:color w:val="000000"/>
          <w:sz w:val="22"/>
          <w:szCs w:val="22"/>
        </w:rPr>
      </w:pPr>
      <w:r>
        <w:rPr>
          <w:color w:val="000000"/>
          <w:sz w:val="22"/>
          <w:szCs w:val="22"/>
        </w:rPr>
        <w:t>Банк в соответствии с требованиями законодательства Российской Федерации, нормативных актов Банка России, Уставом и внутренними документами Банка, осуществляет внутренний контроль в целях обеспечения:</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эффективности и результативности финансово-хозяйственной деятельности при совершении банковских операций и других сделок, эффективности управления активами и пассивами, включая обеспечение сохранности активов, управления банковскими рисками;</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достоверности, полноты, объективности и своевременности составления и представления финансовой, бухгалтерской, статистической и иной отчетности для внешних и внутренних пользователей;</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информационной безопасности (защищенности интересов (целей) Банка в информационной сфере, представляющей собой совокупность информации, информационной инфраструктуры, субъектов, осуществляющих сбор, формирование, распространение и использование информации, а также систему регулирования возникающих при этом отношений);</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соблюдения нормативных правовых актов, стандартов саморегулируемых организаций (для профессиональных участников рынка ценных бумаг), Устава и внутренних документов Банка;</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исключения вовлечения Банка и участия его работников в осуществлении противоправной деятельности, в том числе, мошенничества, легализации (отмывании) доходов, полученных преступным путем, финансировании терроризма и экстремистской деятельности;</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своевременного представления Банком сведений в органы государственной власти и Банк России в соответствии с законодательством Российской Федерации;</w:t>
      </w:r>
    </w:p>
    <w:p w:rsidR="00773E2C" w:rsidRPr="00572656" w:rsidRDefault="00805665">
      <w:pPr>
        <w:numPr>
          <w:ilvl w:val="0"/>
          <w:numId w:val="36"/>
        </w:numPr>
        <w:tabs>
          <w:tab w:val="left" w:pos="851"/>
        </w:tabs>
        <w:autoSpaceDE w:val="0"/>
        <w:autoSpaceDN w:val="0"/>
        <w:adjustRightInd w:val="0"/>
        <w:ind w:left="851" w:hanging="284"/>
        <w:jc w:val="both"/>
        <w:rPr>
          <w:sz w:val="22"/>
          <w:szCs w:val="22"/>
        </w:rPr>
      </w:pPr>
      <w:r>
        <w:rPr>
          <w:sz w:val="22"/>
          <w:szCs w:val="22"/>
        </w:rPr>
        <w:t xml:space="preserve">защиты интересов акционеров, инвесторов и клиентов, предотвращение и устранение конфликтов интересов, </w:t>
      </w:r>
      <w:r w:rsidRPr="00935777">
        <w:rPr>
          <w:color w:val="000000" w:themeColor="text1"/>
          <w:sz w:val="22"/>
          <w:szCs w:val="22"/>
        </w:rPr>
        <w:t>содействия органам управления в осуществлении эффективной деятельности Банка</w:t>
      </w:r>
      <w:r w:rsidRPr="00572656">
        <w:rPr>
          <w:sz w:val="22"/>
          <w:szCs w:val="22"/>
        </w:rPr>
        <w:t>;</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формирования эффективной внутренней контрольной среды для защиты Банка от неблагоприятных последствий реализации внутренних и внешних рисков, возникающих в процессе его деятельности;</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разумной уверенности акционеров Банка в достижении стратегических и операционных целей Банка, поставленных его органами управления в соответствии с законодательством Российской Федерации;</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lastRenderedPageBreak/>
        <w:t>непрерывности и восстановления деятельности Банка в случае возникновения нестандартных и чрезвычайных ситуаций.</w:t>
      </w:r>
    </w:p>
    <w:p w:rsidR="00773E2C" w:rsidRDefault="00805665">
      <w:pPr>
        <w:ind w:firstLine="567"/>
        <w:jc w:val="both"/>
        <w:rPr>
          <w:color w:val="000000"/>
          <w:sz w:val="22"/>
          <w:szCs w:val="22"/>
        </w:rPr>
      </w:pPr>
      <w:r>
        <w:rPr>
          <w:color w:val="000000"/>
          <w:sz w:val="22"/>
          <w:szCs w:val="22"/>
        </w:rPr>
        <w:t>В систему органов внутреннего контроля Банка входят:</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Общее собрание акционеров;</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Наблюдательный совет;</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Председатель Правления и Правление;</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Главный бухгалтер Банка и его заместители;</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руководители и главные бухгалтеры филиалов Банка и их заместители;</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Служба внутреннего аудита;</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Служба внутреннего контроля;</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ответственный сотрудник (подразделение) по противодействию легализации (отмыванию) доходов, полученных преступным путем, финансированию терроризма и экстремистской деятельности;</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контролер профессионального участника рынка ценных бумаг;</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должностное лицо, ответственное за осуществление внутреннего контроля в целях противодействия неправомерному использованию инсайдерской информации и манипулированию рынком;</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руководитель Службы управления рисками;</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подразделения, осуществляющие функции по управлению рисками;</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иные подразделения и должностные лица Банка, осуществляющие внутренний контроль в соответствии с полномочиями, определяемыми Уставом и внутренними документами Банка.</w:t>
      </w:r>
    </w:p>
    <w:p w:rsidR="00773E2C" w:rsidRDefault="00805665">
      <w:pPr>
        <w:ind w:firstLine="567"/>
        <w:jc w:val="both"/>
        <w:rPr>
          <w:sz w:val="22"/>
          <w:szCs w:val="22"/>
        </w:rPr>
      </w:pPr>
      <w:r>
        <w:rPr>
          <w:sz w:val="22"/>
          <w:szCs w:val="22"/>
        </w:rPr>
        <w:t>Полномочия органов внутреннего контроля Банка, порядок их образования и функционирования определяются законодательством Российской Федерации, Уставом, внутренними документами Банка.</w:t>
      </w:r>
    </w:p>
    <w:p w:rsidR="00773E2C" w:rsidRDefault="00805665">
      <w:pPr>
        <w:ind w:firstLine="567"/>
        <w:jc w:val="both"/>
        <w:rPr>
          <w:color w:val="000000"/>
          <w:sz w:val="22"/>
          <w:szCs w:val="22"/>
        </w:rPr>
      </w:pPr>
      <w:r>
        <w:rPr>
          <w:color w:val="000000"/>
          <w:sz w:val="22"/>
          <w:szCs w:val="22"/>
        </w:rPr>
        <w:t>К компетенции Наблюдательного совета в системе внутреннего контроля относятся следующие вопросы:</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определение принципов и подходов к организации в Банке управления рисками, внутреннего контроля и внутреннего аудита, участие в системе управления рисками, осуществление анализа эффективности мероприятий по управлению банковскими рисками путем рассмотрения отчетов о деятельности Банка, отчета об уровне принимаемых Банком рисков, отчета Службы внутреннего аудита о результатах проведения оценки эффективности внутренних процедур оценки достаточности капитала и иных отчетов Банка и Банковской группы в случаях, предусмотренных законодательством;</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утверждение стратегии управления рисками и капиталом Банка, в том числе в части обеспечения достаточности собственных средств (капитала) и ликвидности на покрытие рисков как в целом по Банку, так и по отдельным направлениям его деятельности, а также утверждение порядка управления наиболее значимыми для Банка рисками и контроль за реализацией указанного порядка;</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утверждение стратегии управления рисками и капиталом Банковской группы, а также утверждение порядка управления наиболее значимыми рисками и капиталом Банковской группы и осуществление контроля за его реализацией в качестве головной организации банковской группы;</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 xml:space="preserve">утверждение порядка применения банковских методик управления рисками и моделей количественной оценки рисков (в случае, предусмотренном статьей 72.1 Федерального закона «О Центральном банке Российской Федерации (Банке России)»), включая оценку активов и обязательств, </w:t>
      </w:r>
      <w:proofErr w:type="spellStart"/>
      <w:r>
        <w:rPr>
          <w:sz w:val="22"/>
          <w:szCs w:val="22"/>
        </w:rPr>
        <w:t>внебалансовых</w:t>
      </w:r>
      <w:proofErr w:type="spellEnd"/>
      <w:r>
        <w:rPr>
          <w:sz w:val="22"/>
          <w:szCs w:val="22"/>
        </w:rPr>
        <w:t xml:space="preserve"> требований и обязательств Банка, а также сценариев и результатов стресс-тестирования;</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утверждение порядка предотвращения конфликтов интересов, плана восстановления финансовой устойчивости в случае существенного ухудшения финансового состояния Банка, плана действий, направленных на обеспечение непрерывности деятельности и (или) восстановление деятельности Банка в случае возникновения нестандартных и чрезвычайных ситуаций;</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обеспечение эффективного контроля за финансово-хозяйственной деятельностью Банка, функционированием системы внутреннего контроля;</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регулярное рассмотрение на своих заседаниях эффективности внутреннего контроля и обсуждение с исполнительными органами Банка вопросов организации внутреннего контроля и мер по повышению его эффективности;</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lastRenderedPageBreak/>
        <w:t>рассмотрение и утверждение внутренних документов Банка по организации системы внутреннего контроля, подготовленных исполнительными органами Банка, органами внутреннего аудита и внутреннего контроля Банка, рассмотрение документов по организации системы внутреннего контроля, подготовленных аудиторской организацией, проводящей (проводившей) аудит;</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принятие мер, обеспечивающих оперативное выполнение исполнительными органами Банка, руководителями подразделений, органами внутреннего контроля Банка рекомендаций и замечаний Службы внутреннего аудита, аудиторской организации, проводящей (проводившей) аудит, и надзорных органов;</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своевременное осуществление проверки соответствия системы внутреннего контроля характеру и масштабу осуществляемых операций Банка, уровню и сочетанию принимаемых рисков;</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обеспечение постоянства деятельности, независимости и беспристрастности Службы внутреннего аудита и беспрепятственного и эффективного осуществления ею своих функций, профессиональной компетентности ее руководителя и сотрудников;</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утверждение внутренних документов Банка, определяющих политику Банка в области организации и осуществления внутреннего аудита, в том числе Положения о Службе внутреннего аудита, а также ее организационной структуры и штатного расписания, принятие решения о назначении (утверждение) руководителя Службы внутреннего аудита на должность и его освобождении от должности;</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утверждение внутренних документов Банка, устанавливающих порядок выполнения Службой внутреннего аудита своих функций;</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контроль деятельности Службы внутреннего аудита, рассмотрение и утверждение планов работы Службы внутреннего аудита, планов проверок и отчетов о деятельности Службы внутреннего аудита, включающего отчет о выполнении планов проверок, иных отчетов Службы внутреннего аудита;</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независимая проверка Службы внутреннего аудита, в том числе организация и обеспечение ее проведения;</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проведение на основе отчетов Службы внутреннего аудита оценки соблюдения Правлением, Председателем Правления и коллегиальными органами Банка стратегий и внутренних документов Банка, утвержденных Наблюдательным советом;</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рассмотрение отчета Службы внутреннего контроля о проделанной работе за календарный год; рассмотрение отчета о результатах реализации правил внутреннего контроля в целях противодействия легализации (отмыванию) доходов, полученных преступным путем, финансированию терроризма и экстремистской деятельности, рекомендуемых мерах по улучшению системы противодействия легализации (отмыванию) доходов, полученных преступным путем, финансированию терроризма и экстремистской деятельности.</w:t>
      </w:r>
    </w:p>
    <w:p w:rsidR="00773E2C" w:rsidRDefault="00805665">
      <w:pPr>
        <w:ind w:firstLine="567"/>
        <w:jc w:val="both"/>
        <w:rPr>
          <w:color w:val="000000"/>
          <w:sz w:val="22"/>
          <w:szCs w:val="22"/>
        </w:rPr>
      </w:pPr>
      <w:r>
        <w:rPr>
          <w:color w:val="000000"/>
          <w:sz w:val="22"/>
          <w:szCs w:val="22"/>
        </w:rPr>
        <w:t>Система внутреннего контроля Банка включает следующие основные направления:</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контроль за организацией деятельности Банка со стороны органов управления Банком;</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контроль за функционированием системы управления банковскими рисками и оценка банковских рисков;</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контроль за выполнением внутренних процедур оценки достаточности капитала Банка, в том числе на уровне Банковской группы;</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контроль за соответствием банковских операций и иных сделок, функций и фактических действий сотрудников Банка, его бизнес-процессов и технологий требованиям законодательства Российской Федерации, нормативных актов органов исполнительной власти и внутренних документов Банка, решениям его органов управления, иных коллегиальных органов, требованиям и рекомендациям Службы внутреннего аудита и Службы внутреннего контроля;</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контроль за деятельностью Банка как профессионального участника рынка ценных бумаг, а также контроль в целях противодействия неправомерному использованию инсайдерской информации и манипулированию рынком;</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контроль за функционированием системы противодействия легализации доходов, полученных преступным путем, финансированию терроризма и экстремистской деятельности и системы противодействия коррупции;</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lastRenderedPageBreak/>
        <w:t>контроль за соответствием деятельности Банка как участника мировой финансовой системы условиям международных соглашений, заключенных Российской Федерацией, государственными органами и самим Банком, и законодательству иностранных юрисдикций;</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контроль за распределением полномочий при совершении банковских операций и иных сделок, принятии решений, выполнении иных управленческих функций;</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контроль за управлением информационными потоками (получением и передачей информации) и обеспечением информационной безопасности;</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осуществляемое на постоянной основе наблюдение за функционированием системы внутреннего контроля в целях оценки степени ее соответствия задачам деятельности Банка, выявления недостатков, разработки предложений и осуществления контроля за реализацией решений по совершенствованию системы внутреннего контроля Банка.</w:t>
      </w:r>
    </w:p>
    <w:p w:rsidR="00773E2C" w:rsidRDefault="00805665">
      <w:pPr>
        <w:ind w:firstLine="567"/>
        <w:jc w:val="both"/>
        <w:rPr>
          <w:color w:val="000000"/>
          <w:sz w:val="22"/>
          <w:szCs w:val="22"/>
        </w:rPr>
      </w:pPr>
      <w:r>
        <w:rPr>
          <w:color w:val="000000"/>
          <w:sz w:val="22"/>
          <w:szCs w:val="22"/>
        </w:rPr>
        <w:t>Система внутреннего контроля включает:</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выявление и оценку рисков, влияющих на достижение поставленных целей, определение допустимого (приемлемого) уровня риска;</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разработку контрольных процедур для своевременного реагирования на риски;</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надлежащее и своевременное выполнение контрольных процедур;</w:t>
      </w:r>
    </w:p>
    <w:p w:rsidR="00773E2C" w:rsidRDefault="00805665">
      <w:pPr>
        <w:numPr>
          <w:ilvl w:val="0"/>
          <w:numId w:val="36"/>
        </w:numPr>
        <w:tabs>
          <w:tab w:val="left" w:pos="851"/>
        </w:tabs>
        <w:autoSpaceDE w:val="0"/>
        <w:autoSpaceDN w:val="0"/>
        <w:adjustRightInd w:val="0"/>
        <w:ind w:left="851" w:hanging="284"/>
        <w:jc w:val="both"/>
        <w:rPr>
          <w:sz w:val="22"/>
          <w:szCs w:val="22"/>
        </w:rPr>
      </w:pPr>
      <w:r>
        <w:rPr>
          <w:sz w:val="22"/>
          <w:szCs w:val="22"/>
        </w:rPr>
        <w:t>информирование органов управления соответствующего уровня:</w:t>
      </w:r>
    </w:p>
    <w:p w:rsidR="00773E2C" w:rsidRDefault="00805665">
      <w:pPr>
        <w:numPr>
          <w:ilvl w:val="0"/>
          <w:numId w:val="33"/>
        </w:numPr>
        <w:ind w:left="1281" w:hanging="357"/>
        <w:contextualSpacing/>
        <w:jc w:val="both"/>
        <w:rPr>
          <w:rFonts w:eastAsia="Arial Unicode MS"/>
          <w:iCs/>
          <w:sz w:val="22"/>
          <w:szCs w:val="22"/>
        </w:rPr>
      </w:pPr>
      <w:r>
        <w:rPr>
          <w:rFonts w:eastAsia="Arial Unicode MS"/>
          <w:iCs/>
          <w:sz w:val="22"/>
          <w:szCs w:val="22"/>
        </w:rPr>
        <w:t>о существенных недостатках процедур внутреннего контроля с предложением корректирующих мероприятий для их исправления;</w:t>
      </w:r>
    </w:p>
    <w:p w:rsidR="00773E2C" w:rsidRDefault="00805665">
      <w:pPr>
        <w:numPr>
          <w:ilvl w:val="0"/>
          <w:numId w:val="33"/>
        </w:numPr>
        <w:ind w:left="1281" w:hanging="357"/>
        <w:contextualSpacing/>
        <w:jc w:val="both"/>
        <w:rPr>
          <w:rFonts w:eastAsia="Arial Unicode MS"/>
          <w:iCs/>
          <w:sz w:val="22"/>
          <w:szCs w:val="22"/>
        </w:rPr>
      </w:pPr>
      <w:r>
        <w:rPr>
          <w:rFonts w:eastAsia="Arial Unicode MS"/>
          <w:iCs/>
          <w:sz w:val="22"/>
          <w:szCs w:val="22"/>
        </w:rPr>
        <w:t>о существенных рисках и мероприятиях по их снижению.</w:t>
      </w:r>
    </w:p>
    <w:p w:rsidR="00773E2C" w:rsidRDefault="00805665">
      <w:pPr>
        <w:ind w:firstLine="567"/>
        <w:jc w:val="both"/>
        <w:rPr>
          <w:color w:val="000000"/>
          <w:sz w:val="22"/>
          <w:szCs w:val="22"/>
        </w:rPr>
      </w:pPr>
      <w:r>
        <w:rPr>
          <w:color w:val="000000"/>
          <w:sz w:val="22"/>
          <w:szCs w:val="22"/>
        </w:rPr>
        <w:t>Система внутреннего контроля Банка функционирует по принципу трех линий защиты, что обеспечивает координацию и эффективный внутренний контроль за счет четкого определения и разграничения полномочий и обязанностей:</w:t>
      </w:r>
    </w:p>
    <w:p w:rsidR="00773E2C" w:rsidRDefault="00805665">
      <w:pPr>
        <w:numPr>
          <w:ilvl w:val="0"/>
          <w:numId w:val="36"/>
        </w:numPr>
        <w:tabs>
          <w:tab w:val="left" w:pos="851"/>
        </w:tabs>
        <w:autoSpaceDE w:val="0"/>
        <w:autoSpaceDN w:val="0"/>
        <w:adjustRightInd w:val="0"/>
        <w:ind w:left="851" w:hanging="284"/>
        <w:jc w:val="both"/>
        <w:rPr>
          <w:sz w:val="22"/>
          <w:szCs w:val="22"/>
        </w:rPr>
      </w:pPr>
      <w:r>
        <w:rPr>
          <w:b/>
          <w:sz w:val="22"/>
          <w:szCs w:val="22"/>
        </w:rPr>
        <w:t>Первая линия защиты</w:t>
      </w:r>
      <w:r>
        <w:rPr>
          <w:sz w:val="22"/>
          <w:szCs w:val="22"/>
        </w:rPr>
        <w:t xml:space="preserve"> включает в себя бизнес-подразделения и подразделения Банка, осуществляющие контроль и поддержку операционной деятельности Банка. Данные структурные подразделения участвуют в идентификации рисков, присущих их деятельности, а также в применении мер для снижения принятого уровня рисков.</w:t>
      </w:r>
    </w:p>
    <w:p w:rsidR="00773E2C" w:rsidRDefault="00805665">
      <w:pPr>
        <w:numPr>
          <w:ilvl w:val="0"/>
          <w:numId w:val="36"/>
        </w:numPr>
        <w:tabs>
          <w:tab w:val="left" w:pos="851"/>
        </w:tabs>
        <w:autoSpaceDE w:val="0"/>
        <w:autoSpaceDN w:val="0"/>
        <w:adjustRightInd w:val="0"/>
        <w:ind w:left="851" w:hanging="284"/>
        <w:jc w:val="both"/>
        <w:rPr>
          <w:sz w:val="22"/>
          <w:szCs w:val="22"/>
        </w:rPr>
      </w:pPr>
      <w:r>
        <w:rPr>
          <w:b/>
          <w:sz w:val="22"/>
          <w:szCs w:val="22"/>
        </w:rPr>
        <w:t>Вторая линия защиты</w:t>
      </w:r>
      <w:r>
        <w:rPr>
          <w:sz w:val="22"/>
          <w:szCs w:val="22"/>
        </w:rPr>
        <w:t xml:space="preserve"> включает в себя подразделения, осуществляющие управление рисками и осуществляющие внутренний контроль в рамках своих компетенций. В обязанности этих подразделений входит определение стандартов в области управления рисками, выявление и оценка рисков, мониторинг принятого уровня банковских рисков.</w:t>
      </w:r>
    </w:p>
    <w:p w:rsidR="00773E2C" w:rsidRDefault="00805665">
      <w:pPr>
        <w:numPr>
          <w:ilvl w:val="0"/>
          <w:numId w:val="36"/>
        </w:numPr>
        <w:tabs>
          <w:tab w:val="left" w:pos="851"/>
        </w:tabs>
        <w:autoSpaceDE w:val="0"/>
        <w:autoSpaceDN w:val="0"/>
        <w:adjustRightInd w:val="0"/>
        <w:ind w:left="851" w:hanging="284"/>
        <w:jc w:val="both"/>
        <w:rPr>
          <w:sz w:val="22"/>
          <w:szCs w:val="22"/>
        </w:rPr>
      </w:pPr>
      <w:r>
        <w:rPr>
          <w:b/>
          <w:sz w:val="22"/>
          <w:szCs w:val="22"/>
        </w:rPr>
        <w:t>Третья линия защиты</w:t>
      </w:r>
      <w:r>
        <w:rPr>
          <w:sz w:val="22"/>
          <w:szCs w:val="22"/>
        </w:rPr>
        <w:t xml:space="preserve"> включает Службу внутреннего аудита, которая проводит независимую проверку и оценку эффективности системы внутреннего контроля, управления рисками, корпоративного управления и иных процессов, и выработку рекомендаций, направленных на совершенствование указанных систем.</w:t>
      </w:r>
    </w:p>
    <w:p w:rsidR="00773E2C" w:rsidRDefault="00805665">
      <w:pPr>
        <w:ind w:firstLine="567"/>
        <w:jc w:val="both"/>
        <w:rPr>
          <w:color w:val="000000"/>
          <w:sz w:val="22"/>
          <w:szCs w:val="22"/>
        </w:rPr>
      </w:pPr>
      <w:r>
        <w:rPr>
          <w:color w:val="000000"/>
          <w:sz w:val="22"/>
          <w:szCs w:val="22"/>
        </w:rPr>
        <w:t>В целях создания системы внутреннего контроля, соответствующей характеру и масштабу осуществляемых операций, уровню и сочетанию принимаемых рисков, а также разработки предложений по ее совершенствованию в Банке созданы Служба внутреннего аудита и Служба внутреннего контроля.</w:t>
      </w:r>
    </w:p>
    <w:p w:rsidR="00773E2C" w:rsidRDefault="00805665">
      <w:pPr>
        <w:ind w:firstLine="567"/>
        <w:jc w:val="both"/>
        <w:rPr>
          <w:color w:val="000000"/>
          <w:sz w:val="22"/>
          <w:szCs w:val="22"/>
        </w:rPr>
      </w:pPr>
      <w:r>
        <w:rPr>
          <w:color w:val="000000"/>
          <w:sz w:val="22"/>
          <w:szCs w:val="22"/>
        </w:rPr>
        <w:t>Служба внутреннего контроля действует на основании Устава, Положения о Службе внутреннего контроля, Положения об организации внутреннего контроля и иных внутренних документов Банка, устанавливающих порядок организации системы и осуществления внутреннего контроля в соответствии с требованиями, установленными Банком России.</w:t>
      </w:r>
    </w:p>
    <w:p w:rsidR="00773E2C" w:rsidRDefault="00805665">
      <w:pPr>
        <w:ind w:firstLine="567"/>
        <w:jc w:val="both"/>
        <w:rPr>
          <w:color w:val="000000"/>
          <w:sz w:val="22"/>
          <w:szCs w:val="22"/>
        </w:rPr>
      </w:pPr>
      <w:r>
        <w:rPr>
          <w:color w:val="000000"/>
          <w:sz w:val="22"/>
          <w:szCs w:val="22"/>
        </w:rPr>
        <w:t>Руководство Службой внутреннего контроля осуществляется руководителем службы, назначаемым и освобождаемым от должности в соответствии с Уставом и внутренними документами Банка.</w:t>
      </w:r>
    </w:p>
    <w:p w:rsidR="00773E2C" w:rsidRDefault="00773E2C">
      <w:pPr>
        <w:ind w:firstLine="567"/>
        <w:jc w:val="both"/>
        <w:rPr>
          <w:color w:val="000000"/>
          <w:sz w:val="22"/>
          <w:szCs w:val="22"/>
        </w:rPr>
      </w:pPr>
    </w:p>
    <w:p w:rsidR="00773E2C" w:rsidRDefault="00805665">
      <w:pPr>
        <w:keepNext/>
        <w:ind w:firstLine="567"/>
        <w:jc w:val="both"/>
        <w:outlineLvl w:val="1"/>
        <w:rPr>
          <w:b/>
          <w:bCs/>
          <w:sz w:val="22"/>
          <w:szCs w:val="22"/>
        </w:rPr>
      </w:pPr>
      <w:bookmarkStart w:id="26" w:name="_Toc229052198"/>
      <w:r>
        <w:rPr>
          <w:b/>
          <w:bCs/>
          <w:sz w:val="22"/>
          <w:szCs w:val="22"/>
        </w:rPr>
        <w:t>4.9</w:t>
      </w:r>
      <w:r w:rsidR="009B7C78">
        <w:rPr>
          <w:b/>
          <w:bCs/>
          <w:sz w:val="22"/>
          <w:szCs w:val="22"/>
        </w:rPr>
        <w:t>.</w:t>
      </w:r>
      <w:r>
        <w:rPr>
          <w:b/>
          <w:bCs/>
          <w:sz w:val="22"/>
          <w:szCs w:val="22"/>
        </w:rPr>
        <w:t> Служба внутреннего аудита</w:t>
      </w:r>
      <w:bookmarkEnd w:id="26"/>
    </w:p>
    <w:p w:rsidR="00773E2C" w:rsidRDefault="00773E2C">
      <w:pPr>
        <w:ind w:firstLine="567"/>
        <w:jc w:val="both"/>
        <w:rPr>
          <w:color w:val="000000"/>
          <w:sz w:val="22"/>
          <w:szCs w:val="22"/>
        </w:rPr>
      </w:pPr>
    </w:p>
    <w:p w:rsidR="00773E2C" w:rsidRDefault="00805665">
      <w:pPr>
        <w:ind w:firstLine="567"/>
        <w:jc w:val="both"/>
        <w:rPr>
          <w:color w:val="000000"/>
          <w:sz w:val="22"/>
          <w:szCs w:val="22"/>
        </w:rPr>
      </w:pPr>
      <w:r>
        <w:rPr>
          <w:color w:val="000000"/>
          <w:sz w:val="22"/>
          <w:szCs w:val="22"/>
        </w:rPr>
        <w:t>Служба внутреннего аудита является самостоятельным структурным подразделением Банка, действующим под непосредственным контролем Наблюдательного совета Банка и Комитета по аудиту, рискам и стратегии Наблюдательного совета.</w:t>
      </w:r>
    </w:p>
    <w:p w:rsidR="00773E2C" w:rsidRDefault="00805665">
      <w:pPr>
        <w:ind w:firstLine="567"/>
        <w:jc w:val="both"/>
        <w:rPr>
          <w:strike/>
          <w:sz w:val="22"/>
          <w:szCs w:val="22"/>
        </w:rPr>
      </w:pPr>
      <w:r>
        <w:rPr>
          <w:color w:val="000000"/>
          <w:sz w:val="22"/>
          <w:szCs w:val="22"/>
        </w:rPr>
        <w:t>Руководство Службой внутреннего аудита осуществляется руководителем</w:t>
      </w:r>
      <w:r>
        <w:rPr>
          <w:sz w:val="22"/>
          <w:szCs w:val="22"/>
        </w:rPr>
        <w:t>, назначаемым и освобождаемым от должности в соответствии с Уставом Банка и внутренними документами Банка.</w:t>
      </w:r>
    </w:p>
    <w:p w:rsidR="00773E2C" w:rsidRDefault="00805665">
      <w:pPr>
        <w:ind w:firstLine="567"/>
        <w:jc w:val="both"/>
        <w:rPr>
          <w:sz w:val="22"/>
          <w:szCs w:val="22"/>
        </w:rPr>
      </w:pPr>
      <w:r>
        <w:rPr>
          <w:sz w:val="22"/>
          <w:szCs w:val="22"/>
        </w:rPr>
        <w:t>Цели, задачи и функции Службы внутреннего аудита определены в утвержденном Наблюдательным советом Положении о Службе внутреннего аудита.</w:t>
      </w:r>
    </w:p>
    <w:p w:rsidR="005D6701" w:rsidRDefault="005D6701">
      <w:pPr>
        <w:ind w:firstLine="567"/>
        <w:jc w:val="both"/>
        <w:rPr>
          <w:sz w:val="22"/>
          <w:szCs w:val="22"/>
        </w:rPr>
      </w:pPr>
    </w:p>
    <w:p w:rsidR="00773E2C" w:rsidRDefault="00805665">
      <w:pPr>
        <w:ind w:firstLine="567"/>
        <w:jc w:val="both"/>
        <w:rPr>
          <w:color w:val="000000"/>
          <w:sz w:val="22"/>
          <w:szCs w:val="22"/>
        </w:rPr>
      </w:pPr>
      <w:r>
        <w:rPr>
          <w:sz w:val="22"/>
          <w:szCs w:val="22"/>
        </w:rPr>
        <w:lastRenderedPageBreak/>
        <w:t>К основным функциям и задачам Службы внутреннего</w:t>
      </w:r>
      <w:r>
        <w:rPr>
          <w:color w:val="000000"/>
          <w:sz w:val="22"/>
          <w:szCs w:val="22"/>
        </w:rPr>
        <w:t xml:space="preserve"> аудита относится:</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Проведение проверок:</w:t>
      </w:r>
    </w:p>
    <w:p w:rsidR="00773E2C" w:rsidRDefault="00805665">
      <w:pPr>
        <w:numPr>
          <w:ilvl w:val="0"/>
          <w:numId w:val="33"/>
        </w:numPr>
        <w:ind w:left="1281" w:hanging="357"/>
        <w:contextualSpacing/>
        <w:jc w:val="both"/>
        <w:rPr>
          <w:rFonts w:eastAsia="Arial Unicode MS"/>
          <w:iCs/>
          <w:sz w:val="22"/>
          <w:szCs w:val="22"/>
        </w:rPr>
      </w:pPr>
      <w:r>
        <w:rPr>
          <w:rFonts w:eastAsia="Arial Unicode MS"/>
          <w:iCs/>
          <w:sz w:val="22"/>
          <w:szCs w:val="22"/>
        </w:rPr>
        <w:t>проверка и оценка эффективности системы внутреннего контроля в целом, выполнения решений органов управления Банка (Общего собрания акционеров, Наблюдательного совета, исполнительных органов Банка);</w:t>
      </w:r>
    </w:p>
    <w:p w:rsidR="00773E2C" w:rsidRDefault="00805665">
      <w:pPr>
        <w:numPr>
          <w:ilvl w:val="0"/>
          <w:numId w:val="33"/>
        </w:numPr>
        <w:ind w:left="1281" w:hanging="357"/>
        <w:contextualSpacing/>
        <w:jc w:val="both"/>
        <w:rPr>
          <w:rFonts w:eastAsia="Arial Unicode MS"/>
          <w:iCs/>
          <w:sz w:val="22"/>
          <w:szCs w:val="22"/>
        </w:rPr>
      </w:pPr>
      <w:r>
        <w:rPr>
          <w:rFonts w:eastAsia="Arial Unicode MS"/>
          <w:iCs/>
          <w:sz w:val="22"/>
          <w:szCs w:val="22"/>
        </w:rPr>
        <w:t>проверка эффективности методологии оценки банковских рисков и процедур управления банковскими рисками, установленных внутренними документами Банка (методиками, программами, правилами, порядками и процедурами совершения банковских операций и сделок, управления банковскими рисками), и полноты применения указанных документов;</w:t>
      </w:r>
    </w:p>
    <w:p w:rsidR="00773E2C" w:rsidRDefault="00805665">
      <w:pPr>
        <w:numPr>
          <w:ilvl w:val="0"/>
          <w:numId w:val="33"/>
        </w:numPr>
        <w:ind w:left="1281" w:hanging="357"/>
        <w:contextualSpacing/>
        <w:jc w:val="both"/>
        <w:rPr>
          <w:rFonts w:eastAsia="Arial Unicode MS"/>
          <w:iCs/>
          <w:sz w:val="22"/>
          <w:szCs w:val="22"/>
        </w:rPr>
      </w:pPr>
      <w:r>
        <w:rPr>
          <w:rFonts w:eastAsia="Arial Unicode MS"/>
          <w:iCs/>
          <w:sz w:val="22"/>
          <w:szCs w:val="22"/>
        </w:rPr>
        <w:t>оценка корпоративного управления;</w:t>
      </w:r>
    </w:p>
    <w:p w:rsidR="00773E2C" w:rsidRDefault="00805665">
      <w:pPr>
        <w:numPr>
          <w:ilvl w:val="0"/>
          <w:numId w:val="33"/>
        </w:numPr>
        <w:ind w:left="1281" w:hanging="357"/>
        <w:contextualSpacing/>
        <w:jc w:val="both"/>
        <w:rPr>
          <w:rFonts w:eastAsia="Arial Unicode MS"/>
          <w:iCs/>
          <w:sz w:val="22"/>
          <w:szCs w:val="22"/>
        </w:rPr>
      </w:pPr>
      <w:r>
        <w:rPr>
          <w:rFonts w:eastAsia="Arial Unicode MS"/>
          <w:iCs/>
          <w:sz w:val="22"/>
          <w:szCs w:val="22"/>
        </w:rPr>
        <w:t>проверка надежности функционирования системы внутреннего контроля за использованием автоматизированных информационных систем, включая контроль целостности баз данных и их защиты от несанкционированного доступа и (или) использования, с учетом мер, принятых на случай нестандартных и чрезвычайных ситуаций в соответствии с планом действий, направленных на обеспечение непрерывности деятельности и (или) восстановление деятельности Банка в случае возникновения нестандартных и чрезвычайных ситуаций;</w:t>
      </w:r>
    </w:p>
    <w:p w:rsidR="00773E2C" w:rsidRDefault="00805665">
      <w:pPr>
        <w:numPr>
          <w:ilvl w:val="0"/>
          <w:numId w:val="33"/>
        </w:numPr>
        <w:ind w:left="1281" w:hanging="357"/>
        <w:contextualSpacing/>
        <w:jc w:val="both"/>
        <w:rPr>
          <w:rFonts w:eastAsia="Arial Unicode MS"/>
          <w:iCs/>
          <w:sz w:val="22"/>
          <w:szCs w:val="22"/>
        </w:rPr>
      </w:pPr>
      <w:r>
        <w:rPr>
          <w:rFonts w:eastAsia="Arial Unicode MS"/>
          <w:iCs/>
          <w:sz w:val="22"/>
          <w:szCs w:val="22"/>
        </w:rPr>
        <w:t>проверка и тестирование достоверности, полноты и своевременности бухгалтерского учета и отчетности, а также надежности (включая достоверность, полноту и своевременность) сбора и представления информации и отчетности;</w:t>
      </w:r>
    </w:p>
    <w:p w:rsidR="00773E2C" w:rsidRDefault="00805665">
      <w:pPr>
        <w:numPr>
          <w:ilvl w:val="0"/>
          <w:numId w:val="33"/>
        </w:numPr>
        <w:ind w:left="1281" w:hanging="357"/>
        <w:contextualSpacing/>
        <w:jc w:val="both"/>
        <w:rPr>
          <w:rFonts w:eastAsia="Arial Unicode MS"/>
          <w:iCs/>
          <w:sz w:val="22"/>
          <w:szCs w:val="22"/>
        </w:rPr>
      </w:pPr>
      <w:r>
        <w:rPr>
          <w:rFonts w:eastAsia="Arial Unicode MS"/>
          <w:iCs/>
          <w:sz w:val="22"/>
          <w:szCs w:val="22"/>
        </w:rPr>
        <w:t>проверка применяемых способов (методов) обеспечения сохранности имущества Банка;</w:t>
      </w:r>
    </w:p>
    <w:p w:rsidR="00773E2C" w:rsidRDefault="00805665">
      <w:pPr>
        <w:numPr>
          <w:ilvl w:val="0"/>
          <w:numId w:val="33"/>
        </w:numPr>
        <w:ind w:left="1281" w:hanging="357"/>
        <w:contextualSpacing/>
        <w:jc w:val="both"/>
        <w:rPr>
          <w:rFonts w:eastAsia="Arial Unicode MS"/>
          <w:iCs/>
          <w:sz w:val="22"/>
          <w:szCs w:val="22"/>
        </w:rPr>
      </w:pPr>
      <w:r>
        <w:rPr>
          <w:rFonts w:eastAsia="Arial Unicode MS"/>
          <w:iCs/>
          <w:sz w:val="22"/>
          <w:szCs w:val="22"/>
        </w:rPr>
        <w:t>оценка экономической целесообразности и эффективности совершаемых Банком операций и других сделок;</w:t>
      </w:r>
    </w:p>
    <w:p w:rsidR="00773E2C" w:rsidRDefault="00805665">
      <w:pPr>
        <w:numPr>
          <w:ilvl w:val="0"/>
          <w:numId w:val="33"/>
        </w:numPr>
        <w:ind w:left="1281" w:hanging="357"/>
        <w:contextualSpacing/>
        <w:jc w:val="both"/>
        <w:rPr>
          <w:rFonts w:eastAsia="Arial Unicode MS"/>
          <w:iCs/>
          <w:sz w:val="22"/>
          <w:szCs w:val="22"/>
        </w:rPr>
      </w:pPr>
      <w:r>
        <w:rPr>
          <w:rFonts w:eastAsia="Arial Unicode MS"/>
          <w:iCs/>
          <w:sz w:val="22"/>
          <w:szCs w:val="22"/>
        </w:rPr>
        <w:t>проверка процессов и процедур внутреннего контроля в Банке;</w:t>
      </w:r>
    </w:p>
    <w:p w:rsidR="00773E2C" w:rsidRDefault="00805665">
      <w:pPr>
        <w:numPr>
          <w:ilvl w:val="0"/>
          <w:numId w:val="33"/>
        </w:numPr>
        <w:ind w:left="1281" w:hanging="357"/>
        <w:contextualSpacing/>
        <w:jc w:val="both"/>
        <w:rPr>
          <w:rFonts w:eastAsia="Arial Unicode MS"/>
          <w:iCs/>
          <w:sz w:val="22"/>
          <w:szCs w:val="22"/>
        </w:rPr>
      </w:pPr>
      <w:r>
        <w:rPr>
          <w:rFonts w:eastAsia="Arial Unicode MS"/>
          <w:iCs/>
          <w:sz w:val="22"/>
          <w:szCs w:val="22"/>
        </w:rPr>
        <w:t>проверка деятельности Службы внутреннего контроля и Службы управления рисками;</w:t>
      </w:r>
    </w:p>
    <w:p w:rsidR="00773E2C" w:rsidRDefault="00805665">
      <w:pPr>
        <w:numPr>
          <w:ilvl w:val="0"/>
          <w:numId w:val="33"/>
        </w:numPr>
        <w:ind w:left="1281" w:hanging="357"/>
        <w:contextualSpacing/>
        <w:jc w:val="both"/>
        <w:rPr>
          <w:rFonts w:eastAsia="Arial Unicode MS"/>
          <w:iCs/>
          <w:sz w:val="22"/>
          <w:szCs w:val="22"/>
        </w:rPr>
      </w:pPr>
      <w:r>
        <w:rPr>
          <w:rFonts w:eastAsia="Arial Unicode MS"/>
          <w:iCs/>
          <w:sz w:val="22"/>
          <w:szCs w:val="22"/>
        </w:rPr>
        <w:t>проведение комплексных и тематических проверок подразделений региональной сети Банка;</w:t>
      </w:r>
    </w:p>
    <w:p w:rsidR="00773E2C" w:rsidRDefault="00805665">
      <w:pPr>
        <w:numPr>
          <w:ilvl w:val="0"/>
          <w:numId w:val="33"/>
        </w:numPr>
        <w:ind w:left="1281" w:hanging="357"/>
        <w:contextualSpacing/>
        <w:jc w:val="both"/>
        <w:rPr>
          <w:rFonts w:eastAsia="Arial Unicode MS"/>
          <w:iCs/>
          <w:sz w:val="22"/>
          <w:szCs w:val="22"/>
        </w:rPr>
      </w:pPr>
      <w:r>
        <w:rPr>
          <w:rFonts w:eastAsia="Arial Unicode MS"/>
          <w:iCs/>
          <w:sz w:val="22"/>
          <w:szCs w:val="22"/>
        </w:rPr>
        <w:t>проверка эффективности организации и осуществления внутреннего контроля профессиональной деятельности Банка на рынке ценных бумаг;</w:t>
      </w:r>
    </w:p>
    <w:p w:rsidR="00773E2C" w:rsidRDefault="00805665">
      <w:pPr>
        <w:numPr>
          <w:ilvl w:val="0"/>
          <w:numId w:val="33"/>
        </w:numPr>
        <w:ind w:left="1281" w:hanging="357"/>
        <w:contextualSpacing/>
        <w:jc w:val="both"/>
        <w:rPr>
          <w:rFonts w:eastAsia="Arial Unicode MS"/>
          <w:iCs/>
          <w:sz w:val="22"/>
          <w:szCs w:val="22"/>
        </w:rPr>
      </w:pPr>
      <w:r>
        <w:rPr>
          <w:rFonts w:eastAsia="Arial Unicode MS"/>
          <w:iCs/>
          <w:sz w:val="22"/>
          <w:szCs w:val="22"/>
        </w:rPr>
        <w:t>аудит компаний, включаемых в консолидированную отчетность Банка по РСБУ и МСФО.</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 xml:space="preserve">Представление Отчетов по результатам деятельности </w:t>
      </w:r>
      <w:r>
        <w:rPr>
          <w:color w:val="000000"/>
          <w:sz w:val="22"/>
          <w:szCs w:val="22"/>
        </w:rPr>
        <w:t>Службы внутреннего аудита</w:t>
      </w:r>
      <w:r>
        <w:rPr>
          <w:sz w:val="22"/>
          <w:szCs w:val="22"/>
        </w:rPr>
        <w:t>:</w:t>
      </w:r>
    </w:p>
    <w:p w:rsidR="00773E2C" w:rsidRDefault="00805665">
      <w:pPr>
        <w:numPr>
          <w:ilvl w:val="0"/>
          <w:numId w:val="33"/>
        </w:numPr>
        <w:ind w:left="1281" w:hanging="357"/>
        <w:contextualSpacing/>
        <w:jc w:val="both"/>
        <w:rPr>
          <w:rFonts w:eastAsia="Arial Unicode MS"/>
          <w:iCs/>
          <w:sz w:val="22"/>
          <w:szCs w:val="22"/>
        </w:rPr>
      </w:pPr>
      <w:r>
        <w:rPr>
          <w:rFonts w:eastAsia="Arial Unicode MS"/>
          <w:iCs/>
          <w:sz w:val="22"/>
          <w:szCs w:val="22"/>
        </w:rPr>
        <w:t xml:space="preserve">информирование на ежеквартальной основе Наблюдательного совета, Комитета по аудиту, рискам и стратегии, исполнительных органов Банка о результатах деятельности </w:t>
      </w:r>
      <w:r>
        <w:rPr>
          <w:color w:val="000000"/>
          <w:sz w:val="22"/>
          <w:szCs w:val="22"/>
        </w:rPr>
        <w:t>Службы внутреннего аудита</w:t>
      </w:r>
      <w:r>
        <w:rPr>
          <w:rFonts w:eastAsia="Arial Unicode MS"/>
          <w:iCs/>
          <w:sz w:val="22"/>
          <w:szCs w:val="22"/>
        </w:rPr>
        <w:t>;</w:t>
      </w:r>
    </w:p>
    <w:p w:rsidR="00773E2C" w:rsidRDefault="00805665">
      <w:pPr>
        <w:numPr>
          <w:ilvl w:val="0"/>
          <w:numId w:val="33"/>
        </w:numPr>
        <w:ind w:left="1281" w:hanging="357"/>
        <w:contextualSpacing/>
        <w:jc w:val="both"/>
        <w:rPr>
          <w:rFonts w:eastAsia="Arial Unicode MS"/>
          <w:iCs/>
          <w:sz w:val="22"/>
          <w:szCs w:val="22"/>
        </w:rPr>
      </w:pPr>
      <w:r>
        <w:rPr>
          <w:rFonts w:eastAsia="Arial Unicode MS"/>
          <w:iCs/>
          <w:sz w:val="22"/>
          <w:szCs w:val="22"/>
        </w:rPr>
        <w:t xml:space="preserve">представление Наблюдательному совету, Комитету по аудиту, рискам и стратегии, по результатам деятельности </w:t>
      </w:r>
      <w:r>
        <w:rPr>
          <w:color w:val="000000"/>
          <w:sz w:val="22"/>
          <w:szCs w:val="22"/>
        </w:rPr>
        <w:t>Службы внутреннего аудита</w:t>
      </w:r>
      <w:r>
        <w:rPr>
          <w:rFonts w:eastAsia="Arial Unicode MS"/>
          <w:iCs/>
          <w:sz w:val="22"/>
          <w:szCs w:val="22"/>
        </w:rPr>
        <w:t xml:space="preserve"> на годовой и полугодовой основе Отчетов о результатах контроля за эффективностью принятых подразделениями, коллегиальным и единоличным исполнительными органами управления по результатам проверок мер, обеспечивающих снижение уровня выявленных рисков, о принятии руководителями проверенных подразделений или направлений деятельности Банка и (или) органами управления решения о приемлемости уровня и сочетания выявленных рисков для Банка. Предоставление указанной информации для ознакомления исполнительным органам Банка.</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Планирование внутреннего аудита:</w:t>
      </w:r>
    </w:p>
    <w:p w:rsidR="00773E2C" w:rsidRDefault="00805665">
      <w:pPr>
        <w:numPr>
          <w:ilvl w:val="0"/>
          <w:numId w:val="33"/>
        </w:numPr>
        <w:ind w:left="1281" w:hanging="357"/>
        <w:contextualSpacing/>
        <w:jc w:val="both"/>
        <w:rPr>
          <w:rFonts w:eastAsia="Arial Unicode MS"/>
          <w:iCs/>
          <w:sz w:val="22"/>
          <w:szCs w:val="22"/>
        </w:rPr>
      </w:pPr>
      <w:r>
        <w:rPr>
          <w:rFonts w:eastAsia="Arial Unicode MS"/>
          <w:iCs/>
          <w:sz w:val="22"/>
          <w:szCs w:val="22"/>
        </w:rPr>
        <w:t>планирование внутреннего аудита на годовой основе и предоставление Планов внутреннего аудита на утверждение Наблюдательному совету и Комитету по аудиту, рискам и стратегии с учетом графика осуществления проверок.</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Консультирование:</w:t>
      </w:r>
    </w:p>
    <w:p w:rsidR="00773E2C" w:rsidRDefault="00805665">
      <w:pPr>
        <w:numPr>
          <w:ilvl w:val="0"/>
          <w:numId w:val="33"/>
        </w:numPr>
        <w:ind w:left="1281" w:hanging="357"/>
        <w:contextualSpacing/>
        <w:jc w:val="both"/>
        <w:rPr>
          <w:rFonts w:eastAsia="Arial Unicode MS"/>
          <w:iCs/>
          <w:sz w:val="22"/>
          <w:szCs w:val="22"/>
        </w:rPr>
      </w:pPr>
      <w:r>
        <w:rPr>
          <w:rFonts w:eastAsia="Arial Unicode MS"/>
          <w:iCs/>
          <w:sz w:val="22"/>
          <w:szCs w:val="22"/>
        </w:rPr>
        <w:t>предоставление консультаций Наблюдательному совету и исполнительным органам Банка по вопросам управления рисками, внутреннего контроля и корпоративного управления, исключающих принятие Службой внутреннего аудита ответственности за управленческие решения.</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Документирование результатов проверок:</w:t>
      </w:r>
    </w:p>
    <w:p w:rsidR="00773E2C" w:rsidRDefault="00805665">
      <w:pPr>
        <w:numPr>
          <w:ilvl w:val="0"/>
          <w:numId w:val="33"/>
        </w:numPr>
        <w:ind w:left="1281" w:hanging="357"/>
        <w:contextualSpacing/>
        <w:jc w:val="both"/>
        <w:rPr>
          <w:rFonts w:eastAsia="Arial Unicode MS"/>
          <w:iCs/>
          <w:sz w:val="22"/>
          <w:szCs w:val="22"/>
        </w:rPr>
      </w:pPr>
      <w:r>
        <w:rPr>
          <w:rFonts w:eastAsia="Arial Unicode MS"/>
          <w:iCs/>
          <w:sz w:val="22"/>
          <w:szCs w:val="22"/>
        </w:rPr>
        <w:t xml:space="preserve">формирование Аудиторских отчетов по результатам проведенных проверок на основе разработанных программ проверок с отражением оценки имеющихся систем </w:t>
      </w:r>
      <w:r>
        <w:rPr>
          <w:rFonts w:eastAsia="Arial Unicode MS"/>
          <w:iCs/>
          <w:sz w:val="22"/>
          <w:szCs w:val="22"/>
        </w:rPr>
        <w:lastRenderedPageBreak/>
        <w:t>внутреннего контроля, информации о выявленных рисках, фактах мошенничества и злоупотреблений, ошибках, иных фактах, являющихся предметом аудита;</w:t>
      </w:r>
    </w:p>
    <w:p w:rsidR="00773E2C" w:rsidRDefault="00805665">
      <w:pPr>
        <w:numPr>
          <w:ilvl w:val="0"/>
          <w:numId w:val="33"/>
        </w:numPr>
        <w:ind w:left="1281" w:hanging="357"/>
        <w:contextualSpacing/>
        <w:jc w:val="both"/>
        <w:rPr>
          <w:rFonts w:eastAsia="Arial Unicode MS"/>
          <w:iCs/>
          <w:sz w:val="22"/>
          <w:szCs w:val="22"/>
        </w:rPr>
      </w:pPr>
      <w:r>
        <w:rPr>
          <w:rFonts w:eastAsia="Arial Unicode MS"/>
          <w:iCs/>
          <w:sz w:val="22"/>
          <w:szCs w:val="22"/>
        </w:rPr>
        <w:t>формирование рекомендаций по устранению выявленных в ходе проверок нарушений.</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Контроль мер, обеспечивающих снижение уровня выявленных рисков:</w:t>
      </w:r>
    </w:p>
    <w:p w:rsidR="00773E2C" w:rsidRDefault="00805665">
      <w:pPr>
        <w:numPr>
          <w:ilvl w:val="0"/>
          <w:numId w:val="33"/>
        </w:numPr>
        <w:ind w:left="1281" w:hanging="357"/>
        <w:contextualSpacing/>
        <w:jc w:val="both"/>
        <w:rPr>
          <w:rFonts w:eastAsia="Arial Unicode MS"/>
          <w:iCs/>
          <w:sz w:val="22"/>
          <w:szCs w:val="22"/>
        </w:rPr>
      </w:pPr>
      <w:r>
        <w:rPr>
          <w:rFonts w:eastAsia="Arial Unicode MS"/>
          <w:iCs/>
          <w:sz w:val="22"/>
          <w:szCs w:val="22"/>
        </w:rPr>
        <w:t xml:space="preserve">организация и осуществление последующего контроля за эффективностью принятых подразделениями и органами управления по результатам проверок мер, обеспечивающих снижение уровня выявленных рисков, за выполнением рекомендаций </w:t>
      </w:r>
      <w:r>
        <w:rPr>
          <w:color w:val="000000"/>
          <w:sz w:val="22"/>
          <w:szCs w:val="22"/>
        </w:rPr>
        <w:t xml:space="preserve">Службы внутреннего аудита </w:t>
      </w:r>
      <w:r>
        <w:rPr>
          <w:rFonts w:eastAsia="Arial Unicode MS"/>
          <w:iCs/>
          <w:sz w:val="22"/>
          <w:szCs w:val="22"/>
        </w:rPr>
        <w:t>по устранению выявленных нарушений, представлением отчетов об устранении нарушений и проведении корректирующих мероприятий;</w:t>
      </w:r>
    </w:p>
    <w:p w:rsidR="00773E2C" w:rsidRDefault="00805665">
      <w:pPr>
        <w:numPr>
          <w:ilvl w:val="0"/>
          <w:numId w:val="33"/>
        </w:numPr>
        <w:ind w:left="1281" w:hanging="357"/>
        <w:contextualSpacing/>
        <w:jc w:val="both"/>
        <w:rPr>
          <w:rFonts w:eastAsia="Arial Unicode MS"/>
          <w:iCs/>
          <w:sz w:val="22"/>
          <w:szCs w:val="22"/>
        </w:rPr>
      </w:pPr>
      <w:r>
        <w:rPr>
          <w:rFonts w:eastAsia="Arial Unicode MS"/>
          <w:iCs/>
          <w:sz w:val="22"/>
          <w:szCs w:val="22"/>
        </w:rPr>
        <w:t>организация и осуществление документирования принятия исполнительными органами Банка решений о приемлемости уровня и сочетания выявленных рисков для Банка по результатам контроля за эффективностью принятых подразделениями и органами управления мер, обеспечивающих снижение уровня выявленных рисков.</w:t>
      </w:r>
    </w:p>
    <w:p w:rsidR="00773E2C" w:rsidRDefault="00805665">
      <w:pPr>
        <w:ind w:firstLine="567"/>
        <w:jc w:val="both"/>
        <w:rPr>
          <w:sz w:val="22"/>
          <w:szCs w:val="22"/>
        </w:rPr>
      </w:pPr>
      <w:r>
        <w:rPr>
          <w:sz w:val="22"/>
          <w:szCs w:val="22"/>
        </w:rPr>
        <w:t>Методологическая и методическая основа осуществления функции внутреннего аудита определена внутренними документами Банка.</w:t>
      </w:r>
    </w:p>
    <w:p w:rsidR="00773E2C" w:rsidRDefault="00805665">
      <w:pPr>
        <w:ind w:firstLine="567"/>
        <w:jc w:val="both"/>
        <w:rPr>
          <w:color w:val="000000"/>
          <w:sz w:val="22"/>
          <w:szCs w:val="22"/>
        </w:rPr>
      </w:pPr>
      <w:r>
        <w:rPr>
          <w:color w:val="000000"/>
          <w:sz w:val="22"/>
          <w:szCs w:val="22"/>
        </w:rPr>
        <w:t>По итогу проведенных аудитов эффективность системы управления рисками и системы внутреннего контроля, корпоративное управление Банка оцениваются Службой внутреннего аудита в целом удовлетворительно.</w:t>
      </w:r>
    </w:p>
    <w:p w:rsidR="00773E2C" w:rsidRDefault="00805665">
      <w:pPr>
        <w:ind w:firstLine="567"/>
        <w:jc w:val="both"/>
        <w:rPr>
          <w:strike/>
          <w:color w:val="000000" w:themeColor="text1"/>
          <w:sz w:val="22"/>
          <w:szCs w:val="22"/>
        </w:rPr>
      </w:pPr>
      <w:r>
        <w:rPr>
          <w:color w:val="000000"/>
          <w:sz w:val="22"/>
          <w:szCs w:val="22"/>
        </w:rPr>
        <w:t xml:space="preserve">Оценка эффективности проведения </w:t>
      </w:r>
      <w:r>
        <w:rPr>
          <w:color w:val="000000" w:themeColor="text1"/>
          <w:sz w:val="22"/>
          <w:szCs w:val="22"/>
        </w:rPr>
        <w:t>внутреннего аудита проводится Комитетом по аудиту, рискам и стратегии Наблюдательного совета и Наблюдательным советом в рамках рассмотрени</w:t>
      </w:r>
      <w:r w:rsidR="00572656" w:rsidRPr="00935777">
        <w:rPr>
          <w:color w:val="000000" w:themeColor="text1"/>
          <w:sz w:val="22"/>
          <w:szCs w:val="22"/>
        </w:rPr>
        <w:t>я</w:t>
      </w:r>
      <w:r>
        <w:rPr>
          <w:color w:val="000000" w:themeColor="text1"/>
          <w:sz w:val="22"/>
          <w:szCs w:val="22"/>
        </w:rPr>
        <w:t xml:space="preserve"> и утверждени</w:t>
      </w:r>
      <w:r w:rsidR="00572656" w:rsidRPr="00935777">
        <w:rPr>
          <w:color w:val="000000" w:themeColor="text1"/>
          <w:sz w:val="22"/>
          <w:szCs w:val="22"/>
        </w:rPr>
        <w:t>я</w:t>
      </w:r>
      <w:r>
        <w:rPr>
          <w:color w:val="000000" w:themeColor="text1"/>
          <w:sz w:val="22"/>
          <w:szCs w:val="22"/>
        </w:rPr>
        <w:t xml:space="preserve"> планов работы Службы внутреннего аудита, ежеквартальных отчетов Службы внутреннего аудита о статусе выполнения плана работы, в том числе включающих сведения о выявляемых при проведении проверок нарушениях (недостатках), выполнении рекомендаций Службы внутреннего аудита, а также случаях, которые препятствуют осуществлению Службой внутреннего аудита своих функций.</w:t>
      </w:r>
    </w:p>
    <w:p w:rsidR="00773E2C" w:rsidRDefault="00773E2C">
      <w:pPr>
        <w:ind w:firstLine="567"/>
        <w:jc w:val="both"/>
        <w:rPr>
          <w:color w:val="000000"/>
          <w:sz w:val="22"/>
          <w:szCs w:val="22"/>
        </w:rPr>
      </w:pPr>
    </w:p>
    <w:p w:rsidR="00773E2C" w:rsidRDefault="00805665">
      <w:pPr>
        <w:keepNext/>
        <w:ind w:firstLine="567"/>
        <w:jc w:val="both"/>
        <w:outlineLvl w:val="1"/>
        <w:rPr>
          <w:b/>
          <w:bCs/>
          <w:sz w:val="22"/>
          <w:szCs w:val="22"/>
        </w:rPr>
      </w:pPr>
      <w:bookmarkStart w:id="27" w:name="_Toc229052199"/>
      <w:r>
        <w:rPr>
          <w:b/>
          <w:bCs/>
          <w:sz w:val="22"/>
          <w:szCs w:val="22"/>
        </w:rPr>
        <w:t>4.10</w:t>
      </w:r>
      <w:r w:rsidR="009B7C78">
        <w:rPr>
          <w:b/>
          <w:bCs/>
          <w:sz w:val="22"/>
          <w:szCs w:val="22"/>
        </w:rPr>
        <w:t>.</w:t>
      </w:r>
      <w:r>
        <w:rPr>
          <w:b/>
          <w:bCs/>
          <w:sz w:val="22"/>
          <w:szCs w:val="22"/>
        </w:rPr>
        <w:t> Подходы к осуществлению внешнего аудита</w:t>
      </w:r>
      <w:bookmarkEnd w:id="27"/>
    </w:p>
    <w:p w:rsidR="00773E2C" w:rsidRDefault="00773E2C">
      <w:pPr>
        <w:ind w:firstLine="567"/>
        <w:jc w:val="both"/>
        <w:rPr>
          <w:color w:val="000000"/>
          <w:sz w:val="22"/>
          <w:szCs w:val="22"/>
          <w:highlight w:val="cyan"/>
        </w:rPr>
      </w:pPr>
    </w:p>
    <w:p w:rsidR="00773E2C" w:rsidRDefault="00805665">
      <w:pPr>
        <w:ind w:firstLine="567"/>
        <w:jc w:val="both"/>
        <w:rPr>
          <w:color w:val="000000"/>
          <w:sz w:val="22"/>
          <w:szCs w:val="22"/>
        </w:rPr>
      </w:pPr>
      <w:r>
        <w:rPr>
          <w:color w:val="000000"/>
          <w:sz w:val="22"/>
          <w:szCs w:val="22"/>
        </w:rPr>
        <w:t>Для проверки и подтверждения достоверности консолидированной финансовой отчетности, подготовленной в соответствии с МСФО, годовой бухгалтерской (финансовой) отчетности, промежуточной сокращенной консолидированной финансовой отчетности Банк ежегодно привлекает профессиональную аудиторскую организацию, не связанную имущественными интересами с Банком или его участниками, имеющую право в соответствии с законодательством Российской Федерации на осуществление такой проверки.</w:t>
      </w:r>
    </w:p>
    <w:p w:rsidR="00773E2C" w:rsidRDefault="00805665">
      <w:pPr>
        <w:ind w:firstLine="567"/>
        <w:jc w:val="both"/>
        <w:rPr>
          <w:strike/>
          <w:color w:val="000000"/>
          <w:sz w:val="22"/>
          <w:szCs w:val="22"/>
        </w:rPr>
      </w:pPr>
      <w:r>
        <w:rPr>
          <w:color w:val="000000"/>
          <w:sz w:val="22"/>
          <w:szCs w:val="22"/>
        </w:rPr>
        <w:t>Аудиторская организация ежегодно назначается годовым Общим собранием акционеров Банка. Выбор аудиторской организации Банка для представления и назначения годовым Общим собранием акционеров производится Наблюдательным советом. Выбор осуществляется на основании информации о месте аудиторской организации на рынке аудиторских услуг, о наличии в аудиторской организации аттестованных в области аудита кредитных организаций аудиторов, о качестве проводимого аудита по фактам наличия замечаний относительно эффективности процесса проведения внешнего аудита, о цене аудиторских услуг.</w:t>
      </w:r>
    </w:p>
    <w:p w:rsidR="00773E2C" w:rsidRDefault="00805665">
      <w:pPr>
        <w:ind w:firstLine="567"/>
        <w:jc w:val="both"/>
        <w:rPr>
          <w:color w:val="000000"/>
          <w:sz w:val="22"/>
          <w:szCs w:val="22"/>
        </w:rPr>
      </w:pPr>
      <w:r>
        <w:rPr>
          <w:color w:val="000000"/>
          <w:sz w:val="22"/>
          <w:szCs w:val="22"/>
        </w:rPr>
        <w:t>Годовым Общим собранием акционеров, проведенным 17 июня 2025 года, также, как и годовым Общим собранием акционеров, проведенным 24 мая 2024 года, было принято решение назначить аудиторской организацией ПАО «БАНК УРАЛСИБ» Акционерное общество «</w:t>
      </w:r>
      <w:proofErr w:type="spellStart"/>
      <w:r>
        <w:rPr>
          <w:color w:val="000000"/>
          <w:sz w:val="22"/>
          <w:szCs w:val="22"/>
        </w:rPr>
        <w:t>Кэпт</w:t>
      </w:r>
      <w:proofErr w:type="spellEnd"/>
      <w:r>
        <w:rPr>
          <w:color w:val="000000"/>
          <w:sz w:val="22"/>
          <w:szCs w:val="22"/>
        </w:rPr>
        <w:t>».</w:t>
      </w:r>
    </w:p>
    <w:p w:rsidR="00773E2C" w:rsidRDefault="00805665">
      <w:pPr>
        <w:ind w:firstLine="567"/>
        <w:jc w:val="both"/>
        <w:rPr>
          <w:color w:val="000000"/>
          <w:sz w:val="22"/>
          <w:szCs w:val="22"/>
        </w:rPr>
      </w:pPr>
      <w:r>
        <w:rPr>
          <w:color w:val="000000"/>
          <w:sz w:val="22"/>
          <w:szCs w:val="22"/>
        </w:rPr>
        <w:t>Факторы, которые могли оказать влияние на независимость аудиторов от Банка, отсутствовали. У аудиторов (должностных лиц аудиторов) при формировании их мнения отсутствовала финансовая, имущественная, родственная или какая-либо иная заинтересованность от Банка (его должностных лиц), а также зависимость от третьей стороны, собственников или руководителей аудиторской организации, в которой аудитор работает.</w:t>
      </w:r>
    </w:p>
    <w:p w:rsidR="00773E2C" w:rsidRDefault="00805665">
      <w:pPr>
        <w:ind w:firstLine="567"/>
        <w:jc w:val="both"/>
        <w:rPr>
          <w:color w:val="000000"/>
          <w:sz w:val="22"/>
          <w:szCs w:val="22"/>
        </w:rPr>
      </w:pPr>
      <w:r>
        <w:rPr>
          <w:color w:val="000000"/>
          <w:sz w:val="22"/>
          <w:szCs w:val="22"/>
        </w:rPr>
        <w:t>Аудиторская проверка Банка осуществлялась в соответствии с действующим законодательством Российской Федерации на основе заключаемого с аудиторской организацией договора.</w:t>
      </w:r>
    </w:p>
    <w:p w:rsidR="00773E2C" w:rsidRDefault="00805665">
      <w:pPr>
        <w:ind w:firstLine="567"/>
        <w:jc w:val="both"/>
        <w:rPr>
          <w:color w:val="000000"/>
          <w:sz w:val="22"/>
          <w:szCs w:val="22"/>
        </w:rPr>
      </w:pPr>
      <w:r>
        <w:rPr>
          <w:color w:val="000000"/>
          <w:sz w:val="22"/>
          <w:szCs w:val="22"/>
        </w:rPr>
        <w:t>В 2025 году Акционерным обществом «</w:t>
      </w:r>
      <w:proofErr w:type="spellStart"/>
      <w:r>
        <w:rPr>
          <w:color w:val="000000"/>
          <w:sz w:val="22"/>
          <w:szCs w:val="22"/>
        </w:rPr>
        <w:t>Кэпт</w:t>
      </w:r>
      <w:proofErr w:type="spellEnd"/>
      <w:r>
        <w:rPr>
          <w:color w:val="000000"/>
          <w:sz w:val="22"/>
          <w:szCs w:val="22"/>
        </w:rPr>
        <w:t>» был проведен:</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аудит годовой бухгалтерской (финансовой) отчетности за 2024 год;</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 xml:space="preserve">аудит годовой бухгалтерской (финансовой) отчетности за 2024 год, раскрытой </w:t>
      </w:r>
      <w:r>
        <w:rPr>
          <w:sz w:val="22"/>
          <w:szCs w:val="22"/>
        </w:rPr>
        <w:t>с учетом требований Решения Совета директоров Банка России от 24 декабря 2024 года;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аудит консолидированной финансовой отчетности за год, закончившийся 31 декабря 2024 года;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lastRenderedPageBreak/>
        <w:t xml:space="preserve">аудит </w:t>
      </w:r>
      <w:r>
        <w:rPr>
          <w:color w:val="000000" w:themeColor="text1"/>
          <w:sz w:val="22"/>
          <w:szCs w:val="22"/>
        </w:rPr>
        <w:t xml:space="preserve">обобщенной консолидированной финансовой отчетности </w:t>
      </w:r>
      <w:r>
        <w:rPr>
          <w:color w:val="000000"/>
          <w:sz w:val="22"/>
          <w:szCs w:val="22"/>
        </w:rPr>
        <w:t>за год, закончившийся 31 декабря 2024 года;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обзорная проверка промежуточной сокращенной консолидированной финансовой отчетности за шесть месяцев, закончившихся 30 июня 2025 года;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обзорная проверка промежуточной сокращенной консолидированной финансовой отчетности специального назначения за шесть месяцев, закончившихся 30 июня 2025 года.</w:t>
      </w:r>
    </w:p>
    <w:p w:rsidR="00773E2C" w:rsidRDefault="00805665">
      <w:pPr>
        <w:ind w:firstLine="567"/>
        <w:jc w:val="both"/>
        <w:rPr>
          <w:color w:val="000000"/>
          <w:sz w:val="22"/>
          <w:szCs w:val="22"/>
        </w:rPr>
      </w:pPr>
      <w:r>
        <w:rPr>
          <w:color w:val="000000"/>
          <w:sz w:val="22"/>
          <w:szCs w:val="22"/>
        </w:rPr>
        <w:t>Иных услуг неаудиторского характера аудитор не выполнял.</w:t>
      </w:r>
    </w:p>
    <w:p w:rsidR="00773E2C" w:rsidRDefault="00805665">
      <w:pPr>
        <w:ind w:firstLine="567"/>
        <w:jc w:val="both"/>
        <w:rPr>
          <w:color w:val="000000"/>
          <w:sz w:val="22"/>
          <w:szCs w:val="22"/>
        </w:rPr>
      </w:pPr>
      <w:r>
        <w:rPr>
          <w:color w:val="000000"/>
          <w:sz w:val="22"/>
          <w:szCs w:val="22"/>
        </w:rPr>
        <w:t>Фактический размер вознаграждения за аудит и обзорную проверку вышеуказанных отчетностей, составил 37 440 000,00 руб., включая НДС.</w:t>
      </w:r>
    </w:p>
    <w:p w:rsidR="00773E2C" w:rsidRDefault="00805665">
      <w:pPr>
        <w:ind w:firstLine="567"/>
        <w:jc w:val="both"/>
        <w:rPr>
          <w:color w:val="000000"/>
          <w:sz w:val="22"/>
          <w:szCs w:val="22"/>
        </w:rPr>
      </w:pPr>
      <w:r>
        <w:rPr>
          <w:color w:val="000000"/>
          <w:sz w:val="22"/>
          <w:szCs w:val="22"/>
        </w:rPr>
        <w:t xml:space="preserve">Замечания Комитета по аудиту, рискам и </w:t>
      </w:r>
      <w:bookmarkStart w:id="28" w:name="_GoBack"/>
      <w:bookmarkEnd w:id="28"/>
      <w:r>
        <w:rPr>
          <w:color w:val="000000"/>
          <w:sz w:val="22"/>
          <w:szCs w:val="22"/>
        </w:rPr>
        <w:t>стратегии Наблюдательного совета ПАО «БАНК УРАЛСИБ» относительно эффективности процесса проведения внешнего аудита за отчетный период отсутствовали.</w:t>
      </w:r>
    </w:p>
    <w:p w:rsidR="00773E2C" w:rsidRDefault="00773E2C">
      <w:pPr>
        <w:ind w:firstLine="567"/>
        <w:jc w:val="both"/>
        <w:rPr>
          <w:color w:val="000000"/>
          <w:sz w:val="22"/>
          <w:szCs w:val="22"/>
        </w:rPr>
      </w:pPr>
    </w:p>
    <w:p w:rsidR="00773E2C" w:rsidRDefault="00805665">
      <w:pPr>
        <w:keepNext/>
        <w:ind w:firstLine="567"/>
        <w:jc w:val="both"/>
        <w:outlineLvl w:val="1"/>
        <w:rPr>
          <w:b/>
          <w:bCs/>
          <w:sz w:val="22"/>
          <w:szCs w:val="22"/>
        </w:rPr>
      </w:pPr>
      <w:bookmarkStart w:id="29" w:name="_Toc229052200"/>
      <w:r w:rsidRPr="007A4A53">
        <w:rPr>
          <w:b/>
          <w:bCs/>
          <w:sz w:val="22"/>
          <w:szCs w:val="22"/>
        </w:rPr>
        <w:t>4.11</w:t>
      </w:r>
      <w:r w:rsidR="00BF411C">
        <w:rPr>
          <w:b/>
          <w:bCs/>
          <w:sz w:val="22"/>
          <w:szCs w:val="22"/>
        </w:rPr>
        <w:t>.</w:t>
      </w:r>
      <w:r w:rsidRPr="007A4A53">
        <w:rPr>
          <w:b/>
          <w:bCs/>
          <w:sz w:val="22"/>
          <w:szCs w:val="22"/>
        </w:rPr>
        <w:t> </w:t>
      </w:r>
      <w:r w:rsidR="003272D1" w:rsidRPr="007A4A53">
        <w:rPr>
          <w:b/>
          <w:bCs/>
          <w:sz w:val="22"/>
          <w:szCs w:val="22"/>
        </w:rPr>
        <w:t>У</w:t>
      </w:r>
      <w:r w:rsidRPr="007A4A53">
        <w:rPr>
          <w:b/>
          <w:bCs/>
          <w:sz w:val="22"/>
          <w:szCs w:val="22"/>
        </w:rPr>
        <w:t>правлени</w:t>
      </w:r>
      <w:r w:rsidR="003272D1" w:rsidRPr="007A4A53">
        <w:rPr>
          <w:b/>
          <w:bCs/>
          <w:sz w:val="22"/>
          <w:szCs w:val="22"/>
        </w:rPr>
        <w:t>е</w:t>
      </w:r>
      <w:r w:rsidRPr="007A4A53">
        <w:rPr>
          <w:b/>
          <w:bCs/>
          <w:sz w:val="22"/>
          <w:szCs w:val="22"/>
        </w:rPr>
        <w:t xml:space="preserve"> конфликтом интересов</w:t>
      </w:r>
      <w:r w:rsidR="003272D1" w:rsidRPr="007A4A53">
        <w:rPr>
          <w:b/>
          <w:bCs/>
          <w:sz w:val="22"/>
          <w:szCs w:val="22"/>
        </w:rPr>
        <w:t xml:space="preserve"> </w:t>
      </w:r>
      <w:r w:rsidR="007A4A53" w:rsidRPr="007A4A53">
        <w:rPr>
          <w:b/>
          <w:bCs/>
          <w:sz w:val="22"/>
          <w:szCs w:val="22"/>
        </w:rPr>
        <w:t>и противодействие</w:t>
      </w:r>
      <w:r w:rsidR="003272D1" w:rsidRPr="007A4A53">
        <w:rPr>
          <w:b/>
          <w:bCs/>
          <w:sz w:val="22"/>
          <w:szCs w:val="22"/>
        </w:rPr>
        <w:t xml:space="preserve"> финансовым преступлениям</w:t>
      </w:r>
      <w:bookmarkEnd w:id="29"/>
    </w:p>
    <w:p w:rsidR="00773E2C" w:rsidRDefault="00773E2C">
      <w:pPr>
        <w:ind w:firstLine="567"/>
        <w:jc w:val="both"/>
        <w:rPr>
          <w:b/>
          <w:color w:val="000000"/>
          <w:sz w:val="22"/>
          <w:szCs w:val="22"/>
          <w:u w:val="single"/>
        </w:rPr>
      </w:pPr>
    </w:p>
    <w:p w:rsidR="00773E2C" w:rsidRDefault="00805665">
      <w:pPr>
        <w:ind w:firstLine="567"/>
        <w:jc w:val="both"/>
        <w:rPr>
          <w:color w:val="000000"/>
          <w:sz w:val="22"/>
          <w:szCs w:val="22"/>
        </w:rPr>
      </w:pPr>
      <w:r>
        <w:rPr>
          <w:color w:val="000000"/>
          <w:sz w:val="22"/>
          <w:szCs w:val="22"/>
        </w:rPr>
        <w:t>С целью управления конфликтом интересов в Банке разработано Положение о предотвращении и управлении конфликтами интересов, которое устанавливает основные требования к процессу выявления, предотвращения и управления, конфликтами интересов, описывает основные факторы и последствия реализации конфликтов интересов; раскрывает информацию о видах конфликтов интересов; определяет обязанности, ответственность и компетенции работников и должностных лиц в процессе управления конфликтами интересов.</w:t>
      </w:r>
    </w:p>
    <w:p w:rsidR="00773E2C" w:rsidRDefault="00805665">
      <w:pPr>
        <w:ind w:firstLine="567"/>
        <w:jc w:val="both"/>
        <w:rPr>
          <w:color w:val="000000"/>
          <w:sz w:val="22"/>
          <w:szCs w:val="22"/>
        </w:rPr>
      </w:pPr>
      <w:r>
        <w:rPr>
          <w:color w:val="000000"/>
          <w:sz w:val="22"/>
          <w:szCs w:val="22"/>
        </w:rPr>
        <w:t>В работе по управлению конфликтом интересов в Банке устанавливаются и используются:</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принципы предотвращения конфликта интересов;</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механизмы выявления конфликтов интересов;</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способы урегулирования конфликтом интересов;</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порядок раскрытия информации о конфликтах интересов.</w:t>
      </w:r>
    </w:p>
    <w:p w:rsidR="00773E2C" w:rsidRDefault="00805665">
      <w:pPr>
        <w:ind w:firstLine="567"/>
        <w:jc w:val="both"/>
        <w:rPr>
          <w:color w:val="000000"/>
          <w:sz w:val="22"/>
          <w:szCs w:val="22"/>
        </w:rPr>
      </w:pPr>
      <w:r>
        <w:rPr>
          <w:color w:val="000000"/>
          <w:sz w:val="22"/>
          <w:szCs w:val="22"/>
        </w:rPr>
        <w:t>Ответственным подразделением по обеспечению предупреждения и раннего выявления потенциальных конфликтов интересов, а также предпосылок к их возникновению является Служба внутреннего контроля.</w:t>
      </w:r>
    </w:p>
    <w:p w:rsidR="00773E2C" w:rsidRDefault="00805665">
      <w:pPr>
        <w:ind w:firstLine="567"/>
        <w:jc w:val="both"/>
        <w:rPr>
          <w:color w:val="000000"/>
          <w:sz w:val="22"/>
          <w:szCs w:val="22"/>
        </w:rPr>
      </w:pPr>
      <w:r>
        <w:rPr>
          <w:color w:val="000000"/>
          <w:sz w:val="22"/>
          <w:szCs w:val="22"/>
        </w:rPr>
        <w:t>При необходимости структурные подразделения Банка готовят и утверждают внутренние документы по управлению конфликтом интересов в отдельных областях и направлениях деятельности Банка, имеющих соответствующую специфику в части мер по:</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предотвращению конфликта интересов;</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 xml:space="preserve">выявлению конфликта интересов; </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оценке ситуаций на предмет наличия конфликтов интересов;</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урегулированию конфликтов интересов;</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раскрытию информации.</w:t>
      </w:r>
    </w:p>
    <w:p w:rsidR="00773E2C" w:rsidRDefault="00805665">
      <w:pPr>
        <w:ind w:firstLine="567"/>
        <w:jc w:val="both"/>
        <w:rPr>
          <w:color w:val="000000"/>
          <w:sz w:val="22"/>
          <w:szCs w:val="22"/>
        </w:rPr>
      </w:pPr>
      <w:r>
        <w:rPr>
          <w:color w:val="000000"/>
          <w:sz w:val="22"/>
          <w:szCs w:val="22"/>
        </w:rPr>
        <w:t>Так, в Банке разработаны и утверждены Правила предотвращения конфликта интересов работников Банка при наличии родственных или семейных связей, Правила деловой этики,</w:t>
      </w:r>
      <w:r>
        <w:rPr>
          <w:rFonts w:cs="Arial"/>
        </w:rPr>
        <w:t xml:space="preserve"> </w:t>
      </w:r>
      <w:r>
        <w:rPr>
          <w:rFonts w:cs="Arial"/>
          <w:sz w:val="22"/>
          <w:szCs w:val="22"/>
        </w:rPr>
        <w:t>Порядок выявления конфликта интересов, управления им и предотвращения его реализации при осуществлении профессиональной деятельности на рынке ценных бумаг</w:t>
      </w:r>
      <w:r>
        <w:rPr>
          <w:color w:val="000000"/>
          <w:sz w:val="22"/>
          <w:szCs w:val="22"/>
        </w:rPr>
        <w:t>.</w:t>
      </w:r>
    </w:p>
    <w:p w:rsidR="00773E2C" w:rsidRDefault="00805665">
      <w:pPr>
        <w:ind w:firstLine="567"/>
        <w:jc w:val="both"/>
        <w:rPr>
          <w:color w:val="000000"/>
          <w:sz w:val="22"/>
          <w:szCs w:val="22"/>
        </w:rPr>
      </w:pPr>
      <w:r>
        <w:rPr>
          <w:color w:val="000000"/>
          <w:sz w:val="22"/>
          <w:szCs w:val="22"/>
        </w:rPr>
        <w:t>Банк открыто декларирует о намерениях соблюдения антикоррупционного законодательства Российской Федерации. В Банке утверждена Политика противодействия коррупции ПАО «БАНК УРАЛСИБ» (размещенная на сайте Банка www.uralsib.ru.), которая определяет основные принципы и требования, направленные на предотвращение коррупции и соблюдение норм применимого антикоррупционного законодательства Банком, членами его органов управления, работниками и иными лицами, которые могут действовать от имени Банка.</w:t>
      </w:r>
    </w:p>
    <w:p w:rsidR="00773E2C" w:rsidRDefault="00805665">
      <w:pPr>
        <w:ind w:firstLine="567"/>
        <w:jc w:val="both"/>
        <w:rPr>
          <w:color w:val="000000"/>
          <w:sz w:val="22"/>
          <w:szCs w:val="22"/>
        </w:rPr>
      </w:pPr>
      <w:r>
        <w:rPr>
          <w:color w:val="000000"/>
          <w:sz w:val="22"/>
          <w:szCs w:val="22"/>
        </w:rPr>
        <w:t>Основная цель Банка при осуществлении антикоррупционной политики - это минимизация риска вовлечения органов управления Банка, должностных лиц и работников Банка независимо от занимаемой должности в коррупционную деятельность.</w:t>
      </w:r>
    </w:p>
    <w:p w:rsidR="00773E2C" w:rsidRDefault="00805665">
      <w:pPr>
        <w:ind w:firstLine="567"/>
        <w:jc w:val="both"/>
        <w:rPr>
          <w:color w:val="000000"/>
          <w:sz w:val="22"/>
          <w:szCs w:val="22"/>
        </w:rPr>
      </w:pPr>
      <w:r>
        <w:rPr>
          <w:color w:val="000000"/>
          <w:sz w:val="22"/>
          <w:szCs w:val="22"/>
        </w:rPr>
        <w:t>В рамках мероприятий по противодействию коррупции, разработаны и утверждены Порядок профилактики коррупционных правонарушений ПАО «БАНК УРАЛСИБ», который устанавливает единые требования к предупреждению, устранению, минимизации причин и условий, порождающих коррупцию, внедрению антикоррупционных процедур, формированию антикоррупционного сознания, и Порядок рассмотрения сообщений, поступивших на Горячую линию противодействия коррупции и мошенничеству в ПАО «БАНК УРАЛСИБ».</w:t>
      </w:r>
    </w:p>
    <w:p w:rsidR="005D6701" w:rsidRDefault="005D6701">
      <w:pPr>
        <w:ind w:firstLine="567"/>
        <w:jc w:val="both"/>
        <w:rPr>
          <w:color w:val="000000"/>
          <w:sz w:val="22"/>
          <w:szCs w:val="22"/>
        </w:rPr>
      </w:pPr>
    </w:p>
    <w:p w:rsidR="00773E2C" w:rsidRDefault="00805665">
      <w:pPr>
        <w:ind w:firstLine="567"/>
        <w:jc w:val="both"/>
        <w:rPr>
          <w:color w:val="000000"/>
          <w:sz w:val="22"/>
          <w:szCs w:val="22"/>
        </w:rPr>
      </w:pPr>
      <w:r>
        <w:rPr>
          <w:color w:val="000000"/>
          <w:sz w:val="22"/>
          <w:szCs w:val="22"/>
        </w:rPr>
        <w:lastRenderedPageBreak/>
        <w:t>Использование Горячей линии противодействия коррупции и мошенничеству обеспечивает:</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оперативное реагирование в целях предотвращения неправомерных действий работников Банка;</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своевременное выявление фактов нарушений действующего законодательства Российской Федерации, внутренних документов, интересов Банка и взаимодействующих с ним лиц и минимизацию негативных последствий от их реализации;</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создание в Банке атмосферы нулевой терпимости к нарушениям и злоупотреблениям;</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реализацию требований действующего российского антикоррупционного законодательства о мерах по предупреждению коррупции;</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защиту работников Банка от вовлечения в противоправную деятельность.</w:t>
      </w:r>
    </w:p>
    <w:p w:rsidR="00773E2C" w:rsidRDefault="00805665">
      <w:pPr>
        <w:ind w:firstLine="567"/>
        <w:jc w:val="both"/>
        <w:rPr>
          <w:color w:val="000000"/>
          <w:sz w:val="22"/>
          <w:szCs w:val="22"/>
        </w:rPr>
      </w:pPr>
      <w:r>
        <w:rPr>
          <w:color w:val="000000"/>
          <w:sz w:val="22"/>
          <w:szCs w:val="22"/>
        </w:rPr>
        <w:t>Внутренний контроль в целях противодействия легализации (отмыванию) доходов, полученных преступным путём, финансированию терроризма, экстремисткой деятельности и финансированию распространения оружия массового уничтожения (далее - ПОД/ФТ/ЭД) является частью системы внутреннего контроля Банка и осуществляется подразделениями и сотрудниками Банка на постоянной основе.</w:t>
      </w:r>
    </w:p>
    <w:p w:rsidR="00773E2C" w:rsidRDefault="00805665">
      <w:pPr>
        <w:ind w:firstLine="567"/>
        <w:jc w:val="both"/>
        <w:rPr>
          <w:color w:val="000000"/>
          <w:sz w:val="22"/>
          <w:szCs w:val="22"/>
        </w:rPr>
      </w:pPr>
      <w:r>
        <w:rPr>
          <w:color w:val="000000"/>
          <w:sz w:val="22"/>
          <w:szCs w:val="22"/>
        </w:rPr>
        <w:t>Система ПОД/ФТ/ЭД Банка организована в соответствии с требованиями федеральных законов Российской Федерации, издаваемых в соответствии с ними нормативных актов РФ, Банка России, Федеральной службы по финансовому мониторингу, а также с учетом рекомендаций, содержащихся в документах FATF (</w:t>
      </w:r>
      <w:proofErr w:type="spellStart"/>
      <w:r>
        <w:rPr>
          <w:color w:val="000000"/>
          <w:sz w:val="22"/>
          <w:szCs w:val="22"/>
        </w:rPr>
        <w:t>Financial</w:t>
      </w:r>
      <w:proofErr w:type="spellEnd"/>
      <w:r>
        <w:rPr>
          <w:color w:val="000000"/>
          <w:sz w:val="22"/>
          <w:szCs w:val="22"/>
        </w:rPr>
        <w:t xml:space="preserve"> </w:t>
      </w:r>
      <w:proofErr w:type="spellStart"/>
      <w:r>
        <w:rPr>
          <w:color w:val="000000"/>
          <w:sz w:val="22"/>
          <w:szCs w:val="22"/>
        </w:rPr>
        <w:t>Action</w:t>
      </w:r>
      <w:proofErr w:type="spellEnd"/>
      <w:r>
        <w:rPr>
          <w:color w:val="000000"/>
          <w:sz w:val="22"/>
          <w:szCs w:val="22"/>
        </w:rPr>
        <w:t xml:space="preserve"> </w:t>
      </w:r>
      <w:proofErr w:type="spellStart"/>
      <w:r>
        <w:rPr>
          <w:color w:val="000000"/>
          <w:sz w:val="22"/>
          <w:szCs w:val="22"/>
        </w:rPr>
        <w:t>Task</w:t>
      </w:r>
      <w:proofErr w:type="spellEnd"/>
      <w:r>
        <w:rPr>
          <w:color w:val="000000"/>
          <w:sz w:val="22"/>
          <w:szCs w:val="22"/>
        </w:rPr>
        <w:t xml:space="preserve"> </w:t>
      </w:r>
      <w:proofErr w:type="spellStart"/>
      <w:r>
        <w:rPr>
          <w:color w:val="000000"/>
          <w:sz w:val="22"/>
          <w:szCs w:val="22"/>
        </w:rPr>
        <w:t>Force</w:t>
      </w:r>
      <w:proofErr w:type="spellEnd"/>
      <w:r>
        <w:rPr>
          <w:color w:val="000000"/>
          <w:sz w:val="22"/>
          <w:szCs w:val="22"/>
        </w:rPr>
        <w:t xml:space="preserve">, Группы разработки финансовых мер борьбы с отмыванием денег), </w:t>
      </w:r>
      <w:proofErr w:type="spellStart"/>
      <w:r>
        <w:rPr>
          <w:color w:val="000000"/>
          <w:sz w:val="22"/>
          <w:szCs w:val="22"/>
        </w:rPr>
        <w:t>Базельского</w:t>
      </w:r>
      <w:proofErr w:type="spellEnd"/>
      <w:r>
        <w:rPr>
          <w:color w:val="000000"/>
          <w:sz w:val="22"/>
          <w:szCs w:val="22"/>
        </w:rPr>
        <w:t xml:space="preserve"> комитета по банковскому надзору (</w:t>
      </w:r>
      <w:proofErr w:type="spellStart"/>
      <w:r>
        <w:rPr>
          <w:color w:val="000000"/>
          <w:sz w:val="22"/>
          <w:szCs w:val="22"/>
        </w:rPr>
        <w:t>Basel</w:t>
      </w:r>
      <w:proofErr w:type="spellEnd"/>
      <w:r>
        <w:rPr>
          <w:color w:val="000000"/>
          <w:sz w:val="22"/>
          <w:szCs w:val="22"/>
        </w:rPr>
        <w:t xml:space="preserve"> </w:t>
      </w:r>
      <w:proofErr w:type="spellStart"/>
      <w:r>
        <w:rPr>
          <w:color w:val="000000"/>
          <w:sz w:val="22"/>
          <w:szCs w:val="22"/>
        </w:rPr>
        <w:t>Committee</w:t>
      </w:r>
      <w:proofErr w:type="spellEnd"/>
      <w:r>
        <w:rPr>
          <w:color w:val="000000"/>
          <w:sz w:val="22"/>
          <w:szCs w:val="22"/>
        </w:rPr>
        <w:t xml:space="preserve"> </w:t>
      </w:r>
      <w:proofErr w:type="spellStart"/>
      <w:r>
        <w:rPr>
          <w:color w:val="000000"/>
          <w:sz w:val="22"/>
          <w:szCs w:val="22"/>
        </w:rPr>
        <w:t>on</w:t>
      </w:r>
      <w:proofErr w:type="spellEnd"/>
      <w:r>
        <w:rPr>
          <w:color w:val="000000"/>
          <w:sz w:val="22"/>
          <w:szCs w:val="22"/>
        </w:rPr>
        <w:t xml:space="preserve"> </w:t>
      </w:r>
      <w:proofErr w:type="spellStart"/>
      <w:r>
        <w:rPr>
          <w:color w:val="000000"/>
          <w:sz w:val="22"/>
          <w:szCs w:val="22"/>
        </w:rPr>
        <w:t>Banking</w:t>
      </w:r>
      <w:proofErr w:type="spellEnd"/>
      <w:r>
        <w:rPr>
          <w:color w:val="000000"/>
          <w:sz w:val="22"/>
          <w:szCs w:val="22"/>
        </w:rPr>
        <w:t xml:space="preserve"> </w:t>
      </w:r>
      <w:proofErr w:type="spellStart"/>
      <w:r>
        <w:rPr>
          <w:color w:val="000000"/>
          <w:sz w:val="22"/>
          <w:szCs w:val="22"/>
        </w:rPr>
        <w:t>Supervision</w:t>
      </w:r>
      <w:proofErr w:type="spellEnd"/>
      <w:r>
        <w:rPr>
          <w:color w:val="000000"/>
          <w:sz w:val="22"/>
          <w:szCs w:val="22"/>
        </w:rPr>
        <w:t xml:space="preserve">), Евразийской группы по противодействию легализации преступных доходов и финансированию терроризма (ЕАГ) и на основе </w:t>
      </w:r>
      <w:proofErr w:type="spellStart"/>
      <w:r>
        <w:rPr>
          <w:color w:val="000000"/>
          <w:sz w:val="22"/>
          <w:szCs w:val="22"/>
        </w:rPr>
        <w:t>Вольфсбергских</w:t>
      </w:r>
      <w:proofErr w:type="spellEnd"/>
      <w:r>
        <w:rPr>
          <w:color w:val="000000"/>
          <w:sz w:val="22"/>
          <w:szCs w:val="22"/>
        </w:rPr>
        <w:t xml:space="preserve"> принципов, разработанных </w:t>
      </w:r>
      <w:proofErr w:type="spellStart"/>
      <w:r>
        <w:rPr>
          <w:color w:val="000000"/>
          <w:sz w:val="22"/>
          <w:szCs w:val="22"/>
        </w:rPr>
        <w:t>Wolfsberg</w:t>
      </w:r>
      <w:proofErr w:type="spellEnd"/>
      <w:r>
        <w:rPr>
          <w:color w:val="000000"/>
          <w:sz w:val="22"/>
          <w:szCs w:val="22"/>
        </w:rPr>
        <w:t xml:space="preserve"> </w:t>
      </w:r>
      <w:proofErr w:type="spellStart"/>
      <w:r>
        <w:rPr>
          <w:color w:val="000000"/>
          <w:sz w:val="22"/>
          <w:szCs w:val="22"/>
        </w:rPr>
        <w:t>Group</w:t>
      </w:r>
      <w:proofErr w:type="spellEnd"/>
      <w:r>
        <w:rPr>
          <w:color w:val="000000"/>
          <w:sz w:val="22"/>
          <w:szCs w:val="22"/>
        </w:rPr>
        <w:t>.</w:t>
      </w:r>
    </w:p>
    <w:p w:rsidR="00773E2C" w:rsidRDefault="00805665">
      <w:pPr>
        <w:ind w:firstLine="567"/>
        <w:jc w:val="both"/>
        <w:rPr>
          <w:color w:val="000000"/>
          <w:sz w:val="22"/>
          <w:szCs w:val="22"/>
        </w:rPr>
      </w:pPr>
      <w:r>
        <w:rPr>
          <w:color w:val="000000"/>
          <w:sz w:val="22"/>
          <w:szCs w:val="22"/>
        </w:rPr>
        <w:t>Отношения Банка с клиентами, контрагентами, деловыми партнерами и представителями органов государственной власти строятся на принципах добросовестности, честности, профессионализма, взаимного доверия и уважения, приоритетности интересов клиента, нерушимости обязательств и полноты раскрытия необходимой информации.</w:t>
      </w:r>
    </w:p>
    <w:p w:rsidR="00773E2C" w:rsidRDefault="00805665">
      <w:pPr>
        <w:ind w:firstLine="567"/>
        <w:jc w:val="both"/>
        <w:rPr>
          <w:color w:val="000000"/>
          <w:sz w:val="22"/>
          <w:szCs w:val="22"/>
        </w:rPr>
      </w:pPr>
      <w:r>
        <w:rPr>
          <w:color w:val="000000"/>
          <w:sz w:val="22"/>
          <w:szCs w:val="22"/>
        </w:rPr>
        <w:t>В соответствии с требованиями Федерального закона от 07.08.2001 №115-ФЗ «О противодействии легализации (отмыванию) доходов, полученных преступным путем, и финансированию терроризма» (далее – Федеральный закон №115-ФЗ) в Банке функционирует подразделение по ПОД/ФТ/ЭД – Служба финансового мониторинга.</w:t>
      </w:r>
    </w:p>
    <w:p w:rsidR="00773E2C" w:rsidRDefault="00805665">
      <w:pPr>
        <w:ind w:firstLine="567"/>
        <w:jc w:val="both"/>
        <w:rPr>
          <w:color w:val="000000"/>
          <w:sz w:val="22"/>
          <w:szCs w:val="22"/>
        </w:rPr>
      </w:pPr>
      <w:r>
        <w:rPr>
          <w:color w:val="000000"/>
          <w:sz w:val="22"/>
          <w:szCs w:val="22"/>
        </w:rPr>
        <w:t>Документом, регламентирующим деятельность Банка по ПОД/ФТ/ЭД и содержащим описание совокупности предпринимаемых Банком мер и предпринимаемых процедур в целях ПОД/ФТ/ЭД являются Правила внутреннего контроля в целях ПОД/ФТ/ЭД, при разработке которых учтены организационная структура, масштаб и основные направления деятельности Банка, в том числе его профессиональная деятельность на рынке ценных бумаг, характер продуктов (услуг), предоставляемых клиентам, уровень риска, связанный с клиентами и их операциями. Реализацию Правил внутреннего контроля в целях ПОД/ФТ/ЭД обеспечивает специальное должностное лицо Банка - Ответственный сотрудник (Руководитель Службы финансового мониторинга).</w:t>
      </w:r>
    </w:p>
    <w:p w:rsidR="00773E2C" w:rsidRDefault="00805665">
      <w:pPr>
        <w:ind w:firstLine="567"/>
        <w:jc w:val="both"/>
        <w:rPr>
          <w:color w:val="000000"/>
          <w:sz w:val="22"/>
          <w:szCs w:val="22"/>
        </w:rPr>
      </w:pPr>
      <w:r>
        <w:rPr>
          <w:color w:val="000000"/>
          <w:sz w:val="22"/>
          <w:szCs w:val="22"/>
        </w:rPr>
        <w:t xml:space="preserve">Банк на постоянной основе проводит работу по актуализации, модернизации и внедрению новых </w:t>
      </w:r>
      <w:proofErr w:type="spellStart"/>
      <w:r>
        <w:rPr>
          <w:color w:val="000000"/>
          <w:sz w:val="22"/>
          <w:szCs w:val="22"/>
        </w:rPr>
        <w:t>противолегализационных</w:t>
      </w:r>
      <w:proofErr w:type="spellEnd"/>
      <w:r>
        <w:rPr>
          <w:color w:val="000000"/>
          <w:sz w:val="22"/>
          <w:szCs w:val="22"/>
        </w:rPr>
        <w:t xml:space="preserve"> механизмов и процедур, направленных на повышение производительности и эффективности системы ПОД/ФТ/ЭД. Важнейшим принципом осуществления банковской деятельности и системы ПОД/ФТ/ЭД является предотвращения вовлечения Банка и его сотрудников в осуществление противозаконных действий, связанных с отмыванием преступных доходов, а также исключения возможности проведения операций, связанных с финансированием терроризма, экстремистской деятельности и финансированием распространения оружия массового уничтожения опираясь не только на российское законодательство, но также на соответствующие опубликованные отчеты, типологии, индикаторы и руководства FATF.</w:t>
      </w:r>
    </w:p>
    <w:p w:rsidR="00773E2C" w:rsidRDefault="00805665">
      <w:pPr>
        <w:ind w:firstLine="567"/>
        <w:jc w:val="both"/>
        <w:rPr>
          <w:color w:val="000000"/>
          <w:sz w:val="22"/>
          <w:szCs w:val="22"/>
        </w:rPr>
      </w:pPr>
      <w:r>
        <w:rPr>
          <w:color w:val="000000"/>
          <w:sz w:val="22"/>
          <w:szCs w:val="22"/>
        </w:rPr>
        <w:t>В 2025 году Службой финансового мониторинга предпринимался широкий круг действий, направленных на предварительный, текущий и последующий анализ операций с денежными средствами и иным имуществом находящихся на обслуживании клиентов, с целью выявления операций (сделок), предположительно совершаемых в целях легализации (отмывания) доходов, полученных преступным путем, и финансирования терроризма (подозрительные операции), операций, подлежащих обязательному контролю, а также на выявление их экономического смысла. Проводилась масштабная аналитическая работа, фиксирование сведений с последующим представлением отчетности о данных операциях в уполномоченный орган.</w:t>
      </w:r>
      <w:bookmarkStart w:id="30" w:name="_Hlk222850655"/>
      <w:r>
        <w:rPr>
          <w:color w:val="000000"/>
          <w:sz w:val="22"/>
          <w:szCs w:val="22"/>
        </w:rPr>
        <w:t xml:space="preserve"> В целях повышения эффективности функционирования системы противодействия легализации (отмыванию) доходов, полученных преступным путем, и финансированию терроризма было сосредоточено внимание также на </w:t>
      </w:r>
      <w:r>
        <w:rPr>
          <w:color w:val="000000"/>
          <w:sz w:val="22"/>
          <w:szCs w:val="22"/>
        </w:rPr>
        <w:lastRenderedPageBreak/>
        <w:t>минимизации подобных подозрительных операций, совершаемых недобросовестными субъектами финансового рынка с высоким и средним уровнем риска, значительно сокращен вывод ими денежных средств в теневой сектор экономики, а также снижена угроза, исходящая от отдельных категорий лиц, часто совсем молодых и лиц с незначительным уровнем дохода, которые используя методы, основанные на технологиях (</w:t>
      </w:r>
      <w:r w:rsidRPr="00D64389">
        <w:rPr>
          <w:color w:val="000000"/>
          <w:sz w:val="22"/>
          <w:szCs w:val="22"/>
        </w:rPr>
        <w:t>мессен</w:t>
      </w:r>
      <w:r w:rsidR="00D64389" w:rsidRPr="00D64389">
        <w:rPr>
          <w:color w:val="000000"/>
          <w:sz w:val="22"/>
          <w:szCs w:val="22"/>
        </w:rPr>
        <w:t>д</w:t>
      </w:r>
      <w:r w:rsidRPr="00D64389">
        <w:rPr>
          <w:color w:val="000000"/>
          <w:sz w:val="22"/>
          <w:szCs w:val="22"/>
        </w:rPr>
        <w:t>жеры,</w:t>
      </w:r>
      <w:r>
        <w:rPr>
          <w:color w:val="000000"/>
          <w:sz w:val="22"/>
          <w:szCs w:val="22"/>
        </w:rPr>
        <w:t xml:space="preserve"> игровые платформы, интернет и </w:t>
      </w:r>
      <w:r w:rsidRPr="00935777">
        <w:rPr>
          <w:color w:val="000000"/>
          <w:sz w:val="22"/>
          <w:szCs w:val="22"/>
        </w:rPr>
        <w:t>т</w:t>
      </w:r>
      <w:r w:rsidR="00572656" w:rsidRPr="00935777">
        <w:rPr>
          <w:color w:val="000000"/>
          <w:sz w:val="22"/>
          <w:szCs w:val="22"/>
        </w:rPr>
        <w:t>.</w:t>
      </w:r>
      <w:r w:rsidRPr="00935777">
        <w:rPr>
          <w:color w:val="000000"/>
          <w:sz w:val="22"/>
          <w:szCs w:val="22"/>
        </w:rPr>
        <w:t>д</w:t>
      </w:r>
      <w:r w:rsidR="00572656" w:rsidRPr="00935777">
        <w:rPr>
          <w:color w:val="000000"/>
          <w:sz w:val="22"/>
          <w:szCs w:val="22"/>
        </w:rPr>
        <w:t>.</w:t>
      </w:r>
      <w:r w:rsidRPr="00935777">
        <w:rPr>
          <w:color w:val="000000"/>
          <w:sz w:val="22"/>
          <w:szCs w:val="22"/>
        </w:rPr>
        <w:t>),</w:t>
      </w:r>
      <w:r>
        <w:rPr>
          <w:color w:val="000000"/>
          <w:sz w:val="22"/>
          <w:szCs w:val="22"/>
        </w:rPr>
        <w:t xml:space="preserve"> пытались совершать </w:t>
      </w:r>
      <w:proofErr w:type="spellStart"/>
      <w:r>
        <w:rPr>
          <w:color w:val="000000"/>
          <w:sz w:val="22"/>
          <w:szCs w:val="22"/>
        </w:rPr>
        <w:t>высокорисковые</w:t>
      </w:r>
      <w:proofErr w:type="spellEnd"/>
      <w:r>
        <w:rPr>
          <w:color w:val="000000"/>
          <w:sz w:val="22"/>
          <w:szCs w:val="22"/>
        </w:rPr>
        <w:t xml:space="preserve"> операции.</w:t>
      </w:r>
    </w:p>
    <w:p w:rsidR="00773E2C" w:rsidRDefault="00805665">
      <w:pPr>
        <w:ind w:firstLine="567"/>
        <w:jc w:val="both"/>
        <w:rPr>
          <w:color w:val="000000"/>
          <w:sz w:val="22"/>
          <w:szCs w:val="22"/>
        </w:rPr>
      </w:pPr>
      <w:r>
        <w:rPr>
          <w:color w:val="000000"/>
          <w:sz w:val="22"/>
          <w:szCs w:val="22"/>
        </w:rPr>
        <w:t>В 2025 году изменения в Федеральный закон №115-ФЗ вносились восемь раз, семь из которых касались непосредственной деятельности Банка в сфере внутреннего контроля по ПОД/ФТ/ЭД. В соответствии с указанными изменениями Банком осуществлялась работа по следующим направлениям:</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 xml:space="preserve">разработка мероприятий по ПОД/ФТ/ЭД </w:t>
      </w:r>
      <w:r w:rsidR="00853B27">
        <w:rPr>
          <w:sz w:val="22"/>
          <w:szCs w:val="22"/>
        </w:rPr>
        <w:t>при поручении</w:t>
      </w:r>
      <w:r>
        <w:rPr>
          <w:sz w:val="22"/>
          <w:szCs w:val="22"/>
        </w:rPr>
        <w:t xml:space="preserve"> оператору финансовой платформы проведения идентификации (упрощенной идентификации) клиентов;</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корректировка и внедрение порядка получения форматов сообщений для представления в Банк России информации о клиентах и лицах, к которым были применены ограничительные меры при отнесении их Банком России к группе высокой степени (уровня) риска совершения подозрительных операций;</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изменение процесса проведения упрощенной идентификации клиента - физического лица при осуществлении перевода денежных средств без открытия банковского счета с учетом установленных ограничений;</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 xml:space="preserve">корректировка механизма выявления и направления сведений в </w:t>
      </w:r>
      <w:proofErr w:type="spellStart"/>
      <w:r>
        <w:rPr>
          <w:sz w:val="22"/>
          <w:szCs w:val="22"/>
        </w:rPr>
        <w:t>Росфинмониторинг</w:t>
      </w:r>
      <w:proofErr w:type="spellEnd"/>
      <w:r>
        <w:rPr>
          <w:sz w:val="22"/>
          <w:szCs w:val="22"/>
        </w:rPr>
        <w:t xml:space="preserve"> с учетом изменений в части операций, подлежащих обязательному контролю;</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разработка технических процедур для реализации мероприятий в отношении фигурантов перечня террористов в связи с изменением порядка исчисления времени для применения мер по замораживанию денежных средств или иного имущества.</w:t>
      </w:r>
    </w:p>
    <w:bookmarkEnd w:id="30"/>
    <w:p w:rsidR="00773E2C" w:rsidRDefault="00805665">
      <w:pPr>
        <w:ind w:firstLine="567"/>
        <w:jc w:val="both"/>
        <w:rPr>
          <w:color w:val="000000"/>
          <w:sz w:val="22"/>
          <w:szCs w:val="22"/>
        </w:rPr>
      </w:pPr>
      <w:r>
        <w:rPr>
          <w:color w:val="000000"/>
          <w:sz w:val="22"/>
          <w:szCs w:val="22"/>
        </w:rPr>
        <w:t>Учет и внедрение новых законодательных норм, нормативных требований в процедуры внутреннего контроля Банка в целях ПОД/ФТ/ЭД, а также оперативное реагирование и повышение качества внутренних контрольных процедур привели к существенным дополнительным трудозатратам. При этом Банку удалось снизить объемы подозрительных операций и сохранить на требуемом уровне эффективность процедур ПОД/ФТ/ЭД.</w:t>
      </w:r>
    </w:p>
    <w:p w:rsidR="00773E2C" w:rsidRDefault="00805665">
      <w:pPr>
        <w:ind w:firstLine="567"/>
        <w:jc w:val="both"/>
        <w:rPr>
          <w:color w:val="000000"/>
          <w:sz w:val="22"/>
          <w:szCs w:val="22"/>
        </w:rPr>
      </w:pPr>
      <w:r>
        <w:rPr>
          <w:color w:val="000000"/>
          <w:sz w:val="22"/>
          <w:szCs w:val="22"/>
        </w:rPr>
        <w:t>Важнейшим направлением совершенствования системы ПОД/ФТ/ЭД остается комплексная автоматизация процедур внутреннего контроля в целях ПОД/ФТ/ЭД, активное применение риск-ориентированного подхода, в том числе с учетом национальной и секторальной оценок риска.</w:t>
      </w:r>
    </w:p>
    <w:p w:rsidR="00773E2C" w:rsidRDefault="00805665">
      <w:pPr>
        <w:tabs>
          <w:tab w:val="left" w:pos="1260"/>
        </w:tabs>
        <w:ind w:firstLine="567"/>
        <w:jc w:val="both"/>
        <w:rPr>
          <w:rFonts w:eastAsia="Calibri"/>
          <w:color w:val="000000"/>
          <w:sz w:val="22"/>
          <w:szCs w:val="22"/>
          <w:lang w:eastAsia="en-US"/>
        </w:rPr>
      </w:pPr>
      <w:r>
        <w:rPr>
          <w:color w:val="000000"/>
          <w:sz w:val="22"/>
          <w:szCs w:val="22"/>
        </w:rPr>
        <w:t xml:space="preserve">Вопросы противодействия мошенничеству, в том числе связанные с </w:t>
      </w:r>
      <w:r>
        <w:rPr>
          <w:rFonts w:eastAsia="Calibri"/>
          <w:color w:val="000000"/>
          <w:sz w:val="22"/>
          <w:szCs w:val="22"/>
          <w:lang w:eastAsia="en-US"/>
        </w:rPr>
        <w:t>обеспечением защиты информации в целях противодействия осуществлению переводов денежных средств без добровольного согласия клиента в Банке регламентируются внутренними нормативными документами, к которым, в том числе, относятся:</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Политика информационной безопасности Публичного акционерного общества «БАНК УРАЛСИБ» и Банковской группы Публичного акционерного общества «БАНК УРАЛСИБ»;</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Регламент выявления и предотвращения мошеннических операций в системе Дистанционного банковского обслуживания физических лиц Публичного акционерного общества «БАНК УРАЛСИБ»;</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 xml:space="preserve">Регламент взаимодействия подразделений при выявлении операций по переводу денежных средств с признаками без согласия Клиента при использовании системы дистанционного банковского обслуживания «УРАЛСИБ-БИЗНЕС </w:t>
      </w:r>
      <w:proofErr w:type="spellStart"/>
      <w:r>
        <w:rPr>
          <w:sz w:val="22"/>
          <w:szCs w:val="22"/>
        </w:rPr>
        <w:t>Оnline</w:t>
      </w:r>
      <w:proofErr w:type="spellEnd"/>
      <w:r>
        <w:rPr>
          <w:sz w:val="22"/>
          <w:szCs w:val="22"/>
        </w:rPr>
        <w:t>».</w:t>
      </w:r>
    </w:p>
    <w:p w:rsidR="00773E2C" w:rsidRDefault="00805665">
      <w:pPr>
        <w:tabs>
          <w:tab w:val="left" w:pos="1260"/>
        </w:tabs>
        <w:ind w:firstLine="567"/>
        <w:jc w:val="both"/>
        <w:rPr>
          <w:rFonts w:eastAsia="Calibri"/>
          <w:color w:val="000000"/>
          <w:sz w:val="22"/>
          <w:szCs w:val="22"/>
          <w:lang w:eastAsia="en-US"/>
        </w:rPr>
      </w:pPr>
      <w:r>
        <w:rPr>
          <w:rFonts w:eastAsia="Calibri"/>
          <w:color w:val="000000"/>
          <w:sz w:val="22"/>
          <w:szCs w:val="22"/>
          <w:lang w:eastAsia="en-US"/>
        </w:rPr>
        <w:t xml:space="preserve">По всем выявленным инцидентам мошенничества проводится полный разбор и анализ, при необходимости, вносятся изменения в бизнес-процессы и настраиваются контрольные правила в автоматизированных банковских системах и </w:t>
      </w:r>
      <w:proofErr w:type="spellStart"/>
      <w:r>
        <w:rPr>
          <w:rFonts w:eastAsia="Calibri"/>
          <w:color w:val="000000"/>
          <w:sz w:val="22"/>
          <w:szCs w:val="22"/>
          <w:lang w:eastAsia="en-US"/>
        </w:rPr>
        <w:t>антифрод</w:t>
      </w:r>
      <w:proofErr w:type="spellEnd"/>
      <w:r>
        <w:rPr>
          <w:rFonts w:eastAsia="Calibri"/>
          <w:color w:val="000000"/>
          <w:sz w:val="22"/>
          <w:szCs w:val="22"/>
          <w:lang w:eastAsia="en-US"/>
        </w:rPr>
        <w:t>-системах.</w:t>
      </w:r>
    </w:p>
    <w:p w:rsidR="00773E2C" w:rsidRDefault="00805665">
      <w:pPr>
        <w:tabs>
          <w:tab w:val="left" w:pos="1260"/>
        </w:tabs>
        <w:ind w:firstLine="567"/>
        <w:jc w:val="both"/>
        <w:rPr>
          <w:rFonts w:eastAsia="Calibri"/>
          <w:color w:val="000000"/>
          <w:sz w:val="22"/>
          <w:szCs w:val="22"/>
          <w:lang w:eastAsia="en-US"/>
        </w:rPr>
      </w:pPr>
      <w:r>
        <w:rPr>
          <w:rFonts w:eastAsia="Calibri"/>
          <w:color w:val="000000"/>
          <w:sz w:val="22"/>
          <w:szCs w:val="22"/>
          <w:lang w:eastAsia="en-US"/>
        </w:rPr>
        <w:t>В Банке на регулярной основе проводится работа по противодействию осуществления переводов денежных средств без добровольного согласия клиента:</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выявление операций, соответствующих признакам осуществления перевода денежных средств без добровольного согласия клиентов, проведение работы по выявлению оказания давления третьих лиц на клиентов для осуществления переводов денежных средств под влиянием или при злоупотреблении их доверием;</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выявление клиентов-</w:t>
      </w:r>
      <w:proofErr w:type="spellStart"/>
      <w:r>
        <w:rPr>
          <w:sz w:val="22"/>
          <w:szCs w:val="22"/>
        </w:rPr>
        <w:t>дропперов</w:t>
      </w:r>
      <w:proofErr w:type="spellEnd"/>
      <w:r>
        <w:rPr>
          <w:sz w:val="22"/>
          <w:szCs w:val="22"/>
        </w:rPr>
        <w:t>, банковские счета которых используются в мошеннических схемах хищения имущества граждан; реагирование и оказание содействия в оперативном предоставлении запрашиваемой информации по уголовным делам представителям правоохранительных органов (органов расследования);</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lastRenderedPageBreak/>
        <w:t>информирование об успешных операциях и о возможных мошеннических действиях по счетам клиентов;</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 xml:space="preserve">повышение уровня финансовой грамотности клиентов, включая информирование о важности соблюдения правил финансовой безопасности, сохранения своих конфиденциальных данных при использовании различных каналов обслуживания и сценариях мошеннических схем посредством отправки </w:t>
      </w:r>
      <w:proofErr w:type="spellStart"/>
      <w:r>
        <w:rPr>
          <w:sz w:val="22"/>
          <w:szCs w:val="22"/>
        </w:rPr>
        <w:t>push</w:t>
      </w:r>
      <w:proofErr w:type="spellEnd"/>
      <w:r>
        <w:rPr>
          <w:sz w:val="22"/>
          <w:szCs w:val="22"/>
        </w:rPr>
        <w:t xml:space="preserve">, </w:t>
      </w:r>
      <w:proofErr w:type="spellStart"/>
      <w:r>
        <w:rPr>
          <w:sz w:val="22"/>
          <w:szCs w:val="22"/>
        </w:rPr>
        <w:t>sms</w:t>
      </w:r>
      <w:proofErr w:type="spellEnd"/>
      <w:r>
        <w:rPr>
          <w:sz w:val="22"/>
          <w:szCs w:val="22"/>
        </w:rPr>
        <w:t xml:space="preserve"> или e-</w:t>
      </w:r>
      <w:proofErr w:type="spellStart"/>
      <w:r>
        <w:rPr>
          <w:sz w:val="22"/>
          <w:szCs w:val="22"/>
        </w:rPr>
        <w:t>mail</w:t>
      </w:r>
      <w:proofErr w:type="spellEnd"/>
      <w:r>
        <w:rPr>
          <w:sz w:val="22"/>
          <w:szCs w:val="22"/>
        </w:rPr>
        <w:t xml:space="preserve">-рассылки, размещения баннеров при входе в мобильное приложение, на экранах мониторов в отделениях Банка и экранах банкоматов; раздела на сайте Банка https://uralsib.ru/faq/personal/uralsib-onlayn/bezopasnost и в мобильном приложении Банка, предоставление информационных памяток клиентам при открытии карт/счетов; </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включение в должностные обязанности всем работникам отделений Банка уведомлять клиентов о важности соблюдения правил информационной безопасности, уделять особое внимание клиентам преклонного возраста;</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информирование работников отделений Банка о признаках нахождения клиента под влиянием третьих лиц при выдаче кредитных продуктов и о порядке действий в подобных ситуациях.</w:t>
      </w:r>
    </w:p>
    <w:p w:rsidR="00773E2C" w:rsidRDefault="00805665">
      <w:pPr>
        <w:ind w:firstLine="567"/>
        <w:jc w:val="both"/>
        <w:rPr>
          <w:color w:val="000000"/>
          <w:sz w:val="22"/>
          <w:szCs w:val="22"/>
        </w:rPr>
      </w:pPr>
      <w:r>
        <w:rPr>
          <w:color w:val="000000"/>
          <w:sz w:val="22"/>
          <w:szCs w:val="22"/>
        </w:rPr>
        <w:t>Кроме того, Служба безопасности на постоянной основе проводит предупредительно-профилактическую работу с персоналом и систематически доводит до работников Банка по корпоративным каналам связи информацию о выявленных фактах внутреннего мошенничества и мерах ответственности, принятых к виновным лицам.</w:t>
      </w:r>
    </w:p>
    <w:p w:rsidR="00773E2C" w:rsidRDefault="00805665">
      <w:pPr>
        <w:ind w:firstLine="567"/>
        <w:jc w:val="both"/>
        <w:rPr>
          <w:color w:val="000000"/>
          <w:sz w:val="22"/>
          <w:szCs w:val="22"/>
        </w:rPr>
      </w:pPr>
      <w:r>
        <w:rPr>
          <w:color w:val="000000"/>
          <w:sz w:val="22"/>
          <w:szCs w:val="22"/>
        </w:rPr>
        <w:t>Вопросы противодействия мошенничеству также отражены в учебных курсах, которые проходят сотрудники при приеме на работу и в ходе регулярного обучения по направлениям деятельности.</w:t>
      </w:r>
    </w:p>
    <w:p w:rsidR="00773E2C" w:rsidRDefault="00773E2C">
      <w:pPr>
        <w:ind w:firstLine="567"/>
        <w:jc w:val="both"/>
        <w:rPr>
          <w:color w:val="000000"/>
          <w:sz w:val="22"/>
          <w:szCs w:val="22"/>
        </w:rPr>
      </w:pPr>
    </w:p>
    <w:p w:rsidR="002354D5" w:rsidRPr="003D196F" w:rsidRDefault="00805665" w:rsidP="002354D5">
      <w:pPr>
        <w:keepNext/>
        <w:ind w:firstLine="567"/>
        <w:jc w:val="both"/>
        <w:outlineLvl w:val="1"/>
        <w:rPr>
          <w:b/>
          <w:bCs/>
          <w:sz w:val="22"/>
          <w:szCs w:val="22"/>
        </w:rPr>
      </w:pPr>
      <w:bookmarkStart w:id="31" w:name="_Toc229052201"/>
      <w:r>
        <w:rPr>
          <w:b/>
          <w:bCs/>
          <w:sz w:val="22"/>
          <w:szCs w:val="22"/>
        </w:rPr>
        <w:t>4.12</w:t>
      </w:r>
      <w:r w:rsidR="00BA1417">
        <w:rPr>
          <w:b/>
          <w:bCs/>
          <w:sz w:val="22"/>
          <w:szCs w:val="22"/>
        </w:rPr>
        <w:t>.</w:t>
      </w:r>
      <w:r>
        <w:rPr>
          <w:b/>
          <w:bCs/>
          <w:sz w:val="22"/>
          <w:szCs w:val="22"/>
        </w:rPr>
        <w:t> </w:t>
      </w:r>
      <w:r w:rsidR="00B74651" w:rsidRPr="00B74651">
        <w:rPr>
          <w:b/>
          <w:sz w:val="22"/>
          <w:szCs w:val="22"/>
        </w:rPr>
        <w:t>Вознаграждение и компенсация расходов: политика, практика и данные по органам управления и ключевым работникам Банка</w:t>
      </w:r>
      <w:bookmarkEnd w:id="31"/>
    </w:p>
    <w:p w:rsidR="00773E2C" w:rsidRDefault="00773E2C">
      <w:pPr>
        <w:ind w:firstLine="567"/>
        <w:jc w:val="both"/>
      </w:pPr>
    </w:p>
    <w:p w:rsidR="00773E2C" w:rsidRDefault="00805665">
      <w:pPr>
        <w:ind w:firstLine="567"/>
        <w:jc w:val="both"/>
        <w:rPr>
          <w:b/>
          <w:sz w:val="22"/>
          <w:szCs w:val="22"/>
        </w:rPr>
      </w:pPr>
      <w:r>
        <w:rPr>
          <w:b/>
          <w:sz w:val="22"/>
          <w:szCs w:val="22"/>
        </w:rPr>
        <w:t xml:space="preserve">Общие сведения о принятой в </w:t>
      </w:r>
      <w:r w:rsidR="00DE702E">
        <w:rPr>
          <w:b/>
          <w:sz w:val="22"/>
          <w:szCs w:val="22"/>
        </w:rPr>
        <w:t>Банке</w:t>
      </w:r>
      <w:r>
        <w:rPr>
          <w:b/>
          <w:sz w:val="22"/>
          <w:szCs w:val="22"/>
        </w:rPr>
        <w:t xml:space="preserve"> политике в области вознаграждения</w:t>
      </w:r>
    </w:p>
    <w:p w:rsidR="00773E2C" w:rsidRDefault="00773E2C">
      <w:pPr>
        <w:ind w:firstLine="567"/>
        <w:jc w:val="both"/>
        <w:rPr>
          <w:b/>
          <w:i/>
          <w:sz w:val="22"/>
          <w:szCs w:val="22"/>
        </w:rPr>
      </w:pPr>
    </w:p>
    <w:p w:rsidR="00773E2C" w:rsidRDefault="00805665">
      <w:pPr>
        <w:ind w:firstLine="567"/>
        <w:jc w:val="both"/>
        <w:rPr>
          <w:color w:val="000000"/>
          <w:sz w:val="22"/>
          <w:szCs w:val="22"/>
        </w:rPr>
      </w:pPr>
      <w:r>
        <w:rPr>
          <w:color w:val="000000"/>
          <w:sz w:val="22"/>
          <w:szCs w:val="22"/>
        </w:rPr>
        <w:t xml:space="preserve">Система оплаты труда в Банке организована в соответствии с утвержденной Стратегией развития Банка, законодательством Российской Федерации, </w:t>
      </w:r>
      <w:r w:rsidR="005F6F1F" w:rsidRPr="004038D6">
        <w:rPr>
          <w:color w:val="000000"/>
          <w:sz w:val="22"/>
          <w:szCs w:val="22"/>
        </w:rPr>
        <w:t>внутренними нормативными документами</w:t>
      </w:r>
      <w:r>
        <w:rPr>
          <w:color w:val="000000"/>
          <w:sz w:val="22"/>
          <w:szCs w:val="22"/>
        </w:rPr>
        <w:t xml:space="preserve"> с целью обеспечения эффективной деятельности Банка в интересах акционеров.</w:t>
      </w:r>
    </w:p>
    <w:p w:rsidR="00773E2C" w:rsidRDefault="00805665">
      <w:pPr>
        <w:ind w:firstLine="567"/>
        <w:jc w:val="both"/>
        <w:rPr>
          <w:sz w:val="22"/>
          <w:szCs w:val="22"/>
        </w:rPr>
      </w:pPr>
      <w:r>
        <w:rPr>
          <w:sz w:val="22"/>
          <w:szCs w:val="22"/>
        </w:rPr>
        <w:t>В соответствии с Уставом Банка утверждение политики Банка в области оплаты труда и контроль ее реализации относится к компетенции Наблюдательного совета Банка. Наблюдательным советом Банка создан Комитет по кадрам, вознаграждениям и корпоративному управлению, основными задачами которого являются предварительное рассмотрение, анализ и подготовка предложений и рекомендаций, в том числе по вопросам организации, мониторинга и контроля системы оплаты труда для Наблюдательного совета Банка</w:t>
      </w:r>
      <w:r>
        <w:rPr>
          <w:sz w:val="22"/>
          <w:szCs w:val="22"/>
          <w:lang w:eastAsia="en-US"/>
        </w:rPr>
        <w:t>.</w:t>
      </w:r>
    </w:p>
    <w:p w:rsidR="00773E2C" w:rsidRDefault="00805665">
      <w:pPr>
        <w:ind w:firstLine="567"/>
        <w:jc w:val="both"/>
        <w:rPr>
          <w:sz w:val="22"/>
          <w:szCs w:val="22"/>
        </w:rPr>
      </w:pPr>
      <w:r>
        <w:rPr>
          <w:sz w:val="22"/>
          <w:szCs w:val="22"/>
        </w:rPr>
        <w:t xml:space="preserve">Оплата труда, компенсации и льготы работников Банка регулируются внутренними нормативными и организационно-распорядительными документами Банка. В 2025 году Политику Банка в области оплаты труда определяли следующие </w:t>
      </w:r>
      <w:r w:rsidR="005F6F1F">
        <w:rPr>
          <w:sz w:val="22"/>
          <w:szCs w:val="22"/>
        </w:rPr>
        <w:t>внутренние нормативные документы</w:t>
      </w:r>
      <w:r>
        <w:rPr>
          <w:sz w:val="22"/>
          <w:szCs w:val="22"/>
        </w:rPr>
        <w:t>:</w:t>
      </w:r>
    </w:p>
    <w:p w:rsidR="00773E2C" w:rsidRDefault="00805665">
      <w:pPr>
        <w:numPr>
          <w:ilvl w:val="0"/>
          <w:numId w:val="23"/>
        </w:numPr>
        <w:tabs>
          <w:tab w:val="left" w:pos="851"/>
        </w:tabs>
        <w:autoSpaceDE w:val="0"/>
        <w:autoSpaceDN w:val="0"/>
        <w:adjustRightInd w:val="0"/>
        <w:ind w:left="851" w:hanging="284"/>
        <w:jc w:val="both"/>
        <w:rPr>
          <w:sz w:val="22"/>
          <w:szCs w:val="22"/>
        </w:rPr>
      </w:pPr>
      <w:r>
        <w:rPr>
          <w:sz w:val="22"/>
          <w:szCs w:val="22"/>
        </w:rPr>
        <w:t>Положение об оплате труда работников Публичного акционерного общества «БАНК УРАЛСИБ» версия 5.0, утвержденная Решением Наблюдательного совета Банка 28 сентября 2023 года (Протокол от 28 сентября 2023 года № 5), введенная в действие Приказом Председателя Правления от 24 октября 2023 года № 830, и версия 6.0, утвержденная Решением Наблюдательного совета Банка 27 августа 2025 года (Протокол от 27 августа 2025 года № 13), введенная в действие Приказом Председателя Правления от 01 сентября 2025 года № 2202-Э;</w:t>
      </w:r>
    </w:p>
    <w:p w:rsidR="00773E2C" w:rsidRDefault="00805665">
      <w:pPr>
        <w:numPr>
          <w:ilvl w:val="0"/>
          <w:numId w:val="23"/>
        </w:numPr>
        <w:tabs>
          <w:tab w:val="left" w:pos="851"/>
        </w:tabs>
        <w:autoSpaceDE w:val="0"/>
        <w:autoSpaceDN w:val="0"/>
        <w:adjustRightInd w:val="0"/>
        <w:ind w:left="851" w:hanging="284"/>
        <w:jc w:val="both"/>
        <w:rPr>
          <w:sz w:val="22"/>
          <w:szCs w:val="22"/>
        </w:rPr>
      </w:pPr>
      <w:r>
        <w:rPr>
          <w:sz w:val="22"/>
          <w:szCs w:val="22"/>
        </w:rPr>
        <w:t>Положение о материальном стимулировании работников Публичного акционерного общества «БАНК УРАЛСИБ» версия 4.0, утвержденная Решением Наблюдательного совета Банка (Протокол от 23 января 2023 года № 14), введенная в действие Приказом Председателя Правления от 26 января 2023 года № 46, и версия 5.0, утвержденная Решением Наблюдательного совета Банка 27 августа 2025 года (Протокол от 27 августа 2025 года № 13), введенная в действие Приказом Председателя Правления от 01 сентября 2025 года № 2203-Э;</w:t>
      </w:r>
    </w:p>
    <w:p w:rsidR="00773E2C" w:rsidRDefault="00805665">
      <w:pPr>
        <w:numPr>
          <w:ilvl w:val="0"/>
          <w:numId w:val="23"/>
        </w:numPr>
        <w:tabs>
          <w:tab w:val="left" w:pos="851"/>
        </w:tabs>
        <w:autoSpaceDE w:val="0"/>
        <w:autoSpaceDN w:val="0"/>
        <w:adjustRightInd w:val="0"/>
        <w:ind w:left="851" w:hanging="284"/>
        <w:jc w:val="both"/>
        <w:rPr>
          <w:sz w:val="22"/>
          <w:szCs w:val="22"/>
        </w:rPr>
      </w:pPr>
      <w:r>
        <w:rPr>
          <w:sz w:val="22"/>
          <w:szCs w:val="22"/>
        </w:rPr>
        <w:t xml:space="preserve">Положение о материальном стимулировании работников, принимающих риски, работников подразделений, осуществляющих управление рисками, и работников подразделений, осуществляющих внутренний контроль, Публичного акционерного общества «БАНК УРАЛСИБ» версия 3.0, утвержденная Решением Наблюдательного совета Банка (Протокол от 30 мая 2024 года № 20), введенная в действие Приказом Председателя Правления от 03 </w:t>
      </w:r>
      <w:r>
        <w:rPr>
          <w:sz w:val="22"/>
          <w:szCs w:val="22"/>
        </w:rPr>
        <w:lastRenderedPageBreak/>
        <w:t>июня 2024 года № 1045-Э, и версия 4.0, утвержденная Решением Наблюдательного совета Банка 27 августа 2025 года (Протокол от 27 августа 2025 года № 13), введенная в действие Приказом Председателя Правления от 01 сентября 2025 года № 2204-Э.</w:t>
      </w:r>
    </w:p>
    <w:p w:rsidR="00773E2C" w:rsidRDefault="00805665">
      <w:pPr>
        <w:ind w:firstLine="567"/>
        <w:jc w:val="both"/>
        <w:rPr>
          <w:sz w:val="22"/>
          <w:szCs w:val="22"/>
        </w:rPr>
      </w:pPr>
      <w:r>
        <w:rPr>
          <w:sz w:val="22"/>
          <w:szCs w:val="22"/>
        </w:rPr>
        <w:t>Детализированное описание подходов к вознаграждению работников Банка с учетом их места в организационной структуре, должностных обязанностей и участия в коллегиальных органах, представлено в комплексе документов более узкой направленности.</w:t>
      </w:r>
    </w:p>
    <w:p w:rsidR="00773E2C" w:rsidRDefault="00805665">
      <w:pPr>
        <w:ind w:firstLine="567"/>
        <w:jc w:val="both"/>
        <w:rPr>
          <w:sz w:val="22"/>
          <w:szCs w:val="22"/>
        </w:rPr>
      </w:pPr>
      <w:r>
        <w:rPr>
          <w:sz w:val="22"/>
          <w:szCs w:val="22"/>
        </w:rPr>
        <w:t xml:space="preserve">Особенности премирования руководства Банка в 2025 году определяли следующие </w:t>
      </w:r>
      <w:r w:rsidR="005F6F1F">
        <w:rPr>
          <w:sz w:val="22"/>
          <w:szCs w:val="22"/>
        </w:rPr>
        <w:t>внутренние нормативные документы</w:t>
      </w:r>
      <w:r>
        <w:rPr>
          <w:sz w:val="22"/>
          <w:szCs w:val="22"/>
        </w:rPr>
        <w:t>:</w:t>
      </w:r>
    </w:p>
    <w:p w:rsidR="00773E2C" w:rsidRDefault="00805665">
      <w:pPr>
        <w:numPr>
          <w:ilvl w:val="0"/>
          <w:numId w:val="23"/>
        </w:numPr>
        <w:tabs>
          <w:tab w:val="left" w:pos="851"/>
        </w:tabs>
        <w:autoSpaceDE w:val="0"/>
        <w:autoSpaceDN w:val="0"/>
        <w:adjustRightInd w:val="0"/>
        <w:ind w:left="851" w:hanging="284"/>
        <w:jc w:val="both"/>
        <w:rPr>
          <w:sz w:val="22"/>
          <w:szCs w:val="22"/>
        </w:rPr>
      </w:pPr>
      <w:r>
        <w:rPr>
          <w:sz w:val="22"/>
          <w:szCs w:val="22"/>
        </w:rPr>
        <w:t>Положение о вознаграждениях и компенсациях, выплачиваемых членам Наблюдательного совета Публичного акционерного общества «БАНК УРАЛСИБ» (версия 2.0), утвержденное Решением годового Общего собрания акционеров (Протокол №2 от 30 июня 2023);</w:t>
      </w:r>
    </w:p>
    <w:p w:rsidR="00773E2C" w:rsidRDefault="00805665">
      <w:pPr>
        <w:numPr>
          <w:ilvl w:val="0"/>
          <w:numId w:val="23"/>
        </w:numPr>
        <w:tabs>
          <w:tab w:val="left" w:pos="851"/>
        </w:tabs>
        <w:autoSpaceDE w:val="0"/>
        <w:autoSpaceDN w:val="0"/>
        <w:adjustRightInd w:val="0"/>
        <w:ind w:left="851" w:hanging="284"/>
        <w:jc w:val="both"/>
        <w:rPr>
          <w:sz w:val="22"/>
          <w:szCs w:val="22"/>
        </w:rPr>
      </w:pPr>
      <w:r>
        <w:rPr>
          <w:sz w:val="22"/>
          <w:szCs w:val="22"/>
        </w:rPr>
        <w:t>Положение о ежегодном премировании членов Правления и заместителей Председателя Правления Публичного акционерного общества «БАНК УРАЛСИБ» версия 6.0, утвержденная Решением Наблюдательного совета Банка (Протокол от 27 июня 2024 № 21), введенная в действие Приказом Председателя Правления от 03 июля 2024 № 1350-Э, и версия 6.1, утвержденная Решением Наблюдательного совета Банка (Протокол от 28 мая 2025 № 10), введенная в действие Приказом Председателя Правления от 29 мая 2025 № 1279-Э;</w:t>
      </w:r>
    </w:p>
    <w:p w:rsidR="00773E2C" w:rsidRDefault="00805665">
      <w:pPr>
        <w:numPr>
          <w:ilvl w:val="0"/>
          <w:numId w:val="23"/>
        </w:numPr>
        <w:tabs>
          <w:tab w:val="left" w:pos="851"/>
        </w:tabs>
        <w:autoSpaceDE w:val="0"/>
        <w:autoSpaceDN w:val="0"/>
        <w:adjustRightInd w:val="0"/>
        <w:ind w:left="851" w:hanging="284"/>
        <w:jc w:val="both"/>
        <w:rPr>
          <w:sz w:val="22"/>
          <w:szCs w:val="22"/>
        </w:rPr>
      </w:pPr>
      <w:r>
        <w:rPr>
          <w:sz w:val="22"/>
          <w:szCs w:val="22"/>
        </w:rPr>
        <w:t>Карта ежегодных ключевых показателей эффективности членов Правления и заместителей Председателя Правления Публичного акционерного общества «БАНК УРАЛСИБ» версия 7.0, утвержденная Решением Наблюдательного совета Банка (Протокол от 27 июня 2024 № 21), введенная в действие Приказом Председателя Правления Банка от 02 июля 2024 № 1352-Э, и версия 8.0, утвержденная Решением Наблюдательного совета Банка (Протокол от 28 мая 2025 № 10), введенная в действие Приказом Председателя Правления Банка от 29 мая 2025 № 1283-Э;</w:t>
      </w:r>
    </w:p>
    <w:p w:rsidR="00773E2C" w:rsidRDefault="00805665">
      <w:pPr>
        <w:numPr>
          <w:ilvl w:val="0"/>
          <w:numId w:val="23"/>
        </w:numPr>
        <w:tabs>
          <w:tab w:val="left" w:pos="851"/>
        </w:tabs>
        <w:autoSpaceDE w:val="0"/>
        <w:autoSpaceDN w:val="0"/>
        <w:adjustRightInd w:val="0"/>
        <w:ind w:left="851" w:hanging="284"/>
        <w:jc w:val="both"/>
        <w:rPr>
          <w:sz w:val="22"/>
          <w:szCs w:val="22"/>
        </w:rPr>
      </w:pPr>
      <w:r>
        <w:rPr>
          <w:sz w:val="22"/>
          <w:szCs w:val="22"/>
        </w:rPr>
        <w:t>Положение о премировании руководителя Службы внутреннего аудита Публичного акционерного общества «БАНК УРАЛСИБ» версия 2.0, утвержденная Решением Наблюдательного совета Банка (Протокол от 15 октября 2024 № 25), введенная в действие Приказом Председателя Правления от 18 октября 2024 № 2386-Э;</w:t>
      </w:r>
    </w:p>
    <w:p w:rsidR="00773E2C" w:rsidRDefault="00805665">
      <w:pPr>
        <w:numPr>
          <w:ilvl w:val="0"/>
          <w:numId w:val="23"/>
        </w:numPr>
        <w:tabs>
          <w:tab w:val="left" w:pos="851"/>
        </w:tabs>
        <w:autoSpaceDE w:val="0"/>
        <w:autoSpaceDN w:val="0"/>
        <w:adjustRightInd w:val="0"/>
        <w:ind w:left="851" w:hanging="284"/>
        <w:jc w:val="both"/>
        <w:rPr>
          <w:sz w:val="22"/>
          <w:szCs w:val="22"/>
        </w:rPr>
      </w:pPr>
      <w:r>
        <w:rPr>
          <w:sz w:val="22"/>
          <w:szCs w:val="22"/>
        </w:rPr>
        <w:t>Карта ключевых показателей эффективности руководителя Службы внутреннего аудита Публичного акционерного общества «БАНК УРАЛСИБ» версия 2.1, утвержденная Решением Наблюдательного совета Банка (Протокол от 15 октября  2024 № 25), введенная в действие Приказом Председателя Правления Банка от 16 октября 2024 № 2344-Э, и версия 2.2, утвержденная Решением Наблюдательного совета Банка (Протокол от 29 декабря 2025 № 18), введенная  в  действие  Приказом  Председателя  Правления  Банка  от 30 декабря 2025 № 3504-Э.</w:t>
      </w:r>
    </w:p>
    <w:p w:rsidR="00773E2C" w:rsidRDefault="00805665">
      <w:pPr>
        <w:ind w:firstLine="567"/>
        <w:jc w:val="both"/>
        <w:rPr>
          <w:sz w:val="22"/>
          <w:szCs w:val="22"/>
        </w:rPr>
      </w:pPr>
      <w:r w:rsidRPr="004038D6">
        <w:rPr>
          <w:sz w:val="22"/>
          <w:szCs w:val="22"/>
        </w:rPr>
        <w:t xml:space="preserve">Действие </w:t>
      </w:r>
      <w:r w:rsidR="005F6F1F" w:rsidRPr="004038D6">
        <w:rPr>
          <w:sz w:val="22"/>
          <w:szCs w:val="22"/>
        </w:rPr>
        <w:t>внутренних нормативных документов</w:t>
      </w:r>
      <w:r w:rsidRPr="004038D6">
        <w:rPr>
          <w:sz w:val="22"/>
          <w:szCs w:val="22"/>
        </w:rPr>
        <w:t>,</w:t>
      </w:r>
      <w:r>
        <w:rPr>
          <w:sz w:val="22"/>
          <w:szCs w:val="22"/>
        </w:rPr>
        <w:t xml:space="preserve"> регулирующих порядок и условия вознаграждения в Банке, распространяется на всех работников Банка, включая членов Правления, а также работников, осуществляющих принятие и управление рисками Банка. </w:t>
      </w:r>
      <w:r w:rsidR="005F6F1F">
        <w:rPr>
          <w:sz w:val="22"/>
          <w:szCs w:val="22"/>
        </w:rPr>
        <w:t>Внутренние нормативные документы</w:t>
      </w:r>
      <w:r>
        <w:rPr>
          <w:sz w:val="22"/>
          <w:szCs w:val="22"/>
        </w:rPr>
        <w:t>, определяющие порядок и условия вознаграждения в Банке, не распространяются на подконтрольные Банку организации и иные организации, входящие в состав Банковской группы.</w:t>
      </w:r>
    </w:p>
    <w:p w:rsidR="00773E2C" w:rsidRDefault="00773E2C">
      <w:pPr>
        <w:tabs>
          <w:tab w:val="left" w:pos="851"/>
        </w:tabs>
        <w:autoSpaceDE w:val="0"/>
        <w:autoSpaceDN w:val="0"/>
        <w:adjustRightInd w:val="0"/>
        <w:ind w:left="567"/>
        <w:jc w:val="both"/>
        <w:rPr>
          <w:sz w:val="22"/>
          <w:szCs w:val="22"/>
        </w:rPr>
      </w:pPr>
    </w:p>
    <w:p w:rsidR="00773E2C" w:rsidRDefault="00805665">
      <w:pPr>
        <w:ind w:firstLine="567"/>
        <w:jc w:val="both"/>
        <w:rPr>
          <w:b/>
          <w:sz w:val="22"/>
          <w:szCs w:val="22"/>
        </w:rPr>
      </w:pPr>
      <w:r>
        <w:rPr>
          <w:b/>
          <w:sz w:val="22"/>
          <w:szCs w:val="22"/>
        </w:rPr>
        <w:t>Обзор основных изменений в политике вознаграждения в отчетном периоде по сравнению с предыдущим отчетным периодом</w:t>
      </w:r>
    </w:p>
    <w:p w:rsidR="00773E2C" w:rsidRDefault="00773E2C">
      <w:pPr>
        <w:tabs>
          <w:tab w:val="left" w:pos="851"/>
        </w:tabs>
        <w:autoSpaceDE w:val="0"/>
        <w:autoSpaceDN w:val="0"/>
        <w:adjustRightInd w:val="0"/>
        <w:ind w:left="567"/>
        <w:jc w:val="both"/>
        <w:rPr>
          <w:sz w:val="22"/>
          <w:szCs w:val="22"/>
        </w:rPr>
      </w:pPr>
    </w:p>
    <w:p w:rsidR="00773E2C" w:rsidRDefault="00805665">
      <w:pPr>
        <w:ind w:firstLine="539"/>
        <w:jc w:val="both"/>
        <w:rPr>
          <w:sz w:val="22"/>
          <w:szCs w:val="22"/>
        </w:rPr>
      </w:pPr>
      <w:r>
        <w:rPr>
          <w:sz w:val="22"/>
          <w:szCs w:val="22"/>
        </w:rPr>
        <w:t>В 2025 году Наблюдательный совет Банка утвердил следующие документы, регулирующие систему оплаты труда:</w:t>
      </w:r>
    </w:p>
    <w:p w:rsidR="00773E2C" w:rsidRDefault="00805665">
      <w:pPr>
        <w:numPr>
          <w:ilvl w:val="0"/>
          <w:numId w:val="23"/>
        </w:numPr>
        <w:tabs>
          <w:tab w:val="left" w:pos="851"/>
        </w:tabs>
        <w:autoSpaceDE w:val="0"/>
        <w:autoSpaceDN w:val="0"/>
        <w:adjustRightInd w:val="0"/>
        <w:ind w:left="851" w:hanging="284"/>
        <w:jc w:val="both"/>
        <w:rPr>
          <w:sz w:val="22"/>
          <w:szCs w:val="22"/>
        </w:rPr>
      </w:pPr>
      <w:r>
        <w:rPr>
          <w:sz w:val="22"/>
          <w:szCs w:val="22"/>
        </w:rPr>
        <w:t>новую редакцию Положения об оплате труда работников Публичного акционерного общества «БАНК УРАЛСИБ» (версия 6.0), утвержденную Решением Наблюдательного совета Банка 27 августа 2025 года (Протокол от 27 августа 2025 года № 13), введенную в действие Приказом Председателя Правления от 01 сентября 2025 года № 2202-Э;</w:t>
      </w:r>
    </w:p>
    <w:p w:rsidR="00773E2C" w:rsidRDefault="00805665">
      <w:pPr>
        <w:numPr>
          <w:ilvl w:val="0"/>
          <w:numId w:val="23"/>
        </w:numPr>
        <w:tabs>
          <w:tab w:val="left" w:pos="851"/>
        </w:tabs>
        <w:autoSpaceDE w:val="0"/>
        <w:autoSpaceDN w:val="0"/>
        <w:adjustRightInd w:val="0"/>
        <w:ind w:left="851" w:hanging="284"/>
        <w:jc w:val="both"/>
        <w:rPr>
          <w:sz w:val="22"/>
          <w:szCs w:val="22"/>
        </w:rPr>
      </w:pPr>
      <w:r>
        <w:rPr>
          <w:sz w:val="22"/>
          <w:szCs w:val="22"/>
        </w:rPr>
        <w:t>новую редакцию Положения о материальном стимулировании работников Публичного акционерного общества «БАНК УРАЛСИБ» (версия 5.0), утвержденную Решением Наблюдательного совета Банка 27 августа 2025 года (Протокол от 27 августа 2025 года № 13), введенную в действие Приказом Председателя Правления от 01 сентября 2025 года № 2203-Э;</w:t>
      </w:r>
    </w:p>
    <w:p w:rsidR="00773E2C" w:rsidRDefault="00805665">
      <w:pPr>
        <w:numPr>
          <w:ilvl w:val="0"/>
          <w:numId w:val="23"/>
        </w:numPr>
        <w:tabs>
          <w:tab w:val="left" w:pos="851"/>
        </w:tabs>
        <w:autoSpaceDE w:val="0"/>
        <w:autoSpaceDN w:val="0"/>
        <w:adjustRightInd w:val="0"/>
        <w:ind w:left="851" w:hanging="284"/>
        <w:jc w:val="both"/>
        <w:rPr>
          <w:sz w:val="22"/>
          <w:szCs w:val="22"/>
        </w:rPr>
      </w:pPr>
      <w:r>
        <w:rPr>
          <w:sz w:val="22"/>
          <w:szCs w:val="22"/>
        </w:rPr>
        <w:t xml:space="preserve">новую редакцию Положения о материальном стимулировании работников, принимающих риски, работников подразделений, осуществляющих управление рисками, и работников подразделений, осуществляющих внутренний контроль, Публичного акционерного общества </w:t>
      </w:r>
      <w:r>
        <w:rPr>
          <w:sz w:val="22"/>
          <w:szCs w:val="22"/>
        </w:rPr>
        <w:lastRenderedPageBreak/>
        <w:t>«БАНК УРАЛСИБ» (версия 4.0), утвержденную Решением Наблюдательного совета Банка 27 августа 2025 года (Протокол от 27 августа 2025 года № 13), введенную в действие Приказом Председателя Правления от 01 сентября 2025 года № 2204-Э;</w:t>
      </w:r>
    </w:p>
    <w:p w:rsidR="00773E2C" w:rsidRDefault="00805665">
      <w:pPr>
        <w:numPr>
          <w:ilvl w:val="0"/>
          <w:numId w:val="23"/>
        </w:numPr>
        <w:tabs>
          <w:tab w:val="left" w:pos="851"/>
        </w:tabs>
        <w:autoSpaceDE w:val="0"/>
        <w:autoSpaceDN w:val="0"/>
        <w:adjustRightInd w:val="0"/>
        <w:ind w:left="851" w:hanging="284"/>
        <w:jc w:val="both"/>
        <w:rPr>
          <w:sz w:val="22"/>
          <w:szCs w:val="22"/>
        </w:rPr>
      </w:pPr>
      <w:r>
        <w:rPr>
          <w:sz w:val="22"/>
          <w:szCs w:val="22"/>
        </w:rPr>
        <w:t>новую редакцию Положения о ежегодном премировании членов Правления и заместителей Председателя Правления Публичного акционерного общества «БАНК УРАЛСИБ» (версия 6.1), утвержденную Решением Наблюдательного совета Банка (Протокол от 28 мая 2025 № 10), введенную в действие Приказом Председателя Правления от 29 мая 2025 № 1279-Э;</w:t>
      </w:r>
    </w:p>
    <w:p w:rsidR="00773E2C" w:rsidRDefault="00805665">
      <w:pPr>
        <w:numPr>
          <w:ilvl w:val="0"/>
          <w:numId w:val="23"/>
        </w:numPr>
        <w:tabs>
          <w:tab w:val="left" w:pos="851"/>
        </w:tabs>
        <w:autoSpaceDE w:val="0"/>
        <w:autoSpaceDN w:val="0"/>
        <w:adjustRightInd w:val="0"/>
        <w:ind w:left="851" w:hanging="284"/>
        <w:jc w:val="both"/>
        <w:rPr>
          <w:sz w:val="22"/>
          <w:szCs w:val="22"/>
        </w:rPr>
      </w:pPr>
      <w:r>
        <w:rPr>
          <w:sz w:val="22"/>
          <w:szCs w:val="22"/>
        </w:rPr>
        <w:t>новую редакцию Карты ежегодных ключевых показателей эффективности членов Правления и заместителей Председателя Правления Публичного акционерного общества «БАНК УРАЛСИБ» (версия 8.0), утвержденную Решением Наблюдательного совета Банка (Протокол от 28 мая 2025 № 10), введенную в действие Приказом Председателя Правления Банка от 29 мая 2025 № 1283-Э;</w:t>
      </w:r>
    </w:p>
    <w:p w:rsidR="00773E2C" w:rsidRDefault="00805665">
      <w:pPr>
        <w:numPr>
          <w:ilvl w:val="0"/>
          <w:numId w:val="23"/>
        </w:numPr>
        <w:tabs>
          <w:tab w:val="left" w:pos="851"/>
        </w:tabs>
        <w:autoSpaceDE w:val="0"/>
        <w:autoSpaceDN w:val="0"/>
        <w:adjustRightInd w:val="0"/>
        <w:ind w:left="851" w:hanging="284"/>
        <w:jc w:val="both"/>
        <w:rPr>
          <w:sz w:val="22"/>
          <w:szCs w:val="22"/>
        </w:rPr>
      </w:pPr>
      <w:r>
        <w:rPr>
          <w:sz w:val="22"/>
          <w:szCs w:val="22"/>
        </w:rPr>
        <w:t>новую редакцию Карты ключевых показателей эффективности руководителя Службы внутреннего аудита Публичного акционерного общества «БАНК УРАЛСИБ» (версия 2.2), утвержденную Решением Наблюдательного совета Банка (Протокол от 29 декабря 2025 № 18), введенную в действие Приказом Председателя Правления Банка от 30 декабря 2025 № 3504-Э.</w:t>
      </w:r>
    </w:p>
    <w:p w:rsidR="00773E2C" w:rsidRDefault="00805665">
      <w:pPr>
        <w:ind w:firstLine="567"/>
        <w:jc w:val="both"/>
        <w:rPr>
          <w:sz w:val="22"/>
          <w:szCs w:val="22"/>
        </w:rPr>
      </w:pPr>
      <w:r>
        <w:rPr>
          <w:sz w:val="22"/>
          <w:szCs w:val="22"/>
        </w:rPr>
        <w:t xml:space="preserve">Также проводилась актуализация иных </w:t>
      </w:r>
      <w:r w:rsidR="005F6F1F">
        <w:rPr>
          <w:sz w:val="22"/>
          <w:szCs w:val="22"/>
        </w:rPr>
        <w:t>внутренних нормативных документов</w:t>
      </w:r>
      <w:r>
        <w:rPr>
          <w:sz w:val="22"/>
          <w:szCs w:val="22"/>
        </w:rPr>
        <w:t>, регламентирующих политику вознаграждения работников отдельных подразделений Банка.</w:t>
      </w:r>
    </w:p>
    <w:p w:rsidR="00773E2C" w:rsidRDefault="00773E2C">
      <w:pPr>
        <w:ind w:firstLine="567"/>
        <w:jc w:val="both"/>
        <w:rPr>
          <w:b/>
          <w:i/>
          <w:sz w:val="22"/>
          <w:szCs w:val="22"/>
        </w:rPr>
      </w:pPr>
    </w:p>
    <w:p w:rsidR="00773E2C" w:rsidRDefault="00805665">
      <w:pPr>
        <w:ind w:firstLine="567"/>
        <w:jc w:val="both"/>
        <w:rPr>
          <w:b/>
          <w:sz w:val="22"/>
          <w:szCs w:val="22"/>
        </w:rPr>
      </w:pPr>
      <w:r>
        <w:rPr>
          <w:b/>
          <w:sz w:val="22"/>
          <w:szCs w:val="22"/>
        </w:rPr>
        <w:t>Ключевые принципы политики в области вознаграждения</w:t>
      </w:r>
    </w:p>
    <w:p w:rsidR="00773E2C" w:rsidRDefault="00773E2C">
      <w:pPr>
        <w:ind w:firstLine="567"/>
        <w:jc w:val="both"/>
        <w:rPr>
          <w:b/>
          <w:i/>
          <w:sz w:val="22"/>
          <w:szCs w:val="22"/>
        </w:rPr>
      </w:pPr>
    </w:p>
    <w:p w:rsidR="00773E2C" w:rsidRDefault="00805665">
      <w:pPr>
        <w:ind w:firstLine="567"/>
        <w:jc w:val="both"/>
        <w:rPr>
          <w:sz w:val="22"/>
          <w:szCs w:val="22"/>
        </w:rPr>
      </w:pPr>
      <w:r>
        <w:rPr>
          <w:sz w:val="22"/>
          <w:szCs w:val="22"/>
        </w:rPr>
        <w:t>Вознаграждение (оплата труда) работников состоит из фиксированной и нефиксированной части оплаты труда.</w:t>
      </w:r>
    </w:p>
    <w:p w:rsidR="00773E2C" w:rsidRDefault="00805665">
      <w:pPr>
        <w:ind w:firstLine="567"/>
        <w:jc w:val="both"/>
        <w:rPr>
          <w:sz w:val="22"/>
          <w:szCs w:val="22"/>
        </w:rPr>
      </w:pPr>
      <w:r>
        <w:rPr>
          <w:sz w:val="22"/>
          <w:szCs w:val="22"/>
        </w:rPr>
        <w:t>К фиксированной части оплаты труда относятся оклады, компенсационные, стимулирующие и социальные выплаты, не связанные с результатами деятельности работника, подразделения, направления деятельности или Банка в целом.</w:t>
      </w:r>
    </w:p>
    <w:p w:rsidR="00773E2C" w:rsidRDefault="00805665">
      <w:pPr>
        <w:ind w:firstLine="567"/>
        <w:jc w:val="both"/>
        <w:rPr>
          <w:sz w:val="22"/>
          <w:szCs w:val="22"/>
        </w:rPr>
      </w:pPr>
      <w:r>
        <w:rPr>
          <w:sz w:val="22"/>
          <w:szCs w:val="22"/>
        </w:rPr>
        <w:t>Размер фиксированной части оплаты труда членов исполнительных органов управления Банка утверждается Наблюдательным советом. Подход к определению фиксированной части оплаты труда работников, принимающих риски, и остальных работников Банка регулируется Положением об оплате труда работников Публичного акционерного общества «БАНК УРАЛСИБ».</w:t>
      </w:r>
    </w:p>
    <w:p w:rsidR="00773E2C" w:rsidRDefault="00805665">
      <w:pPr>
        <w:ind w:firstLine="567"/>
        <w:jc w:val="both"/>
        <w:rPr>
          <w:sz w:val="22"/>
          <w:szCs w:val="22"/>
        </w:rPr>
      </w:pPr>
      <w:r>
        <w:rPr>
          <w:sz w:val="22"/>
          <w:szCs w:val="22"/>
        </w:rPr>
        <w:t>К нефиксированной части оплаты труда относятся компенсационные и стимулирующие выплаты, связанные с результатами деятельности работника, подразделения, направления деятельности или Банка в целом.</w:t>
      </w:r>
    </w:p>
    <w:p w:rsidR="00773E2C" w:rsidRDefault="00805665">
      <w:pPr>
        <w:ind w:firstLine="567"/>
        <w:jc w:val="both"/>
        <w:rPr>
          <w:sz w:val="22"/>
          <w:szCs w:val="22"/>
        </w:rPr>
      </w:pPr>
      <w:r>
        <w:rPr>
          <w:sz w:val="22"/>
          <w:szCs w:val="22"/>
        </w:rPr>
        <w:t>В соответствии с Положением о Наблюдательном совете Публичного акционерного общества «БАНК УРАЛСИБ» и Положением о вознаграждениях и компенсациях, выплачиваемых членам Наблюдательного совета Публичного акционерного общества «БАНК УРАЛСИБ», по решению Общего собрания акционеров Банка членам Наблюдательного совета Банка в период исполнения ими своих обязанностей, могут выплачиваться вознаграждение и (или) компенсироваться расходы, связанные с исполнением ими функций членов Наблюдательного совета Банка. Размеры таких вознаграждений и компенсаций устанавливаются решением Общего собрания акционеров Банка. В течение 2025 года Общим собранием акционеров Банка решений о выплате вознаграждений членам Наблюдательного совета Банка не принималось.</w:t>
      </w:r>
    </w:p>
    <w:p w:rsidR="00773E2C" w:rsidRDefault="00805665">
      <w:pPr>
        <w:ind w:firstLine="567"/>
        <w:jc w:val="both"/>
        <w:rPr>
          <w:sz w:val="22"/>
          <w:szCs w:val="22"/>
        </w:rPr>
      </w:pPr>
      <w:r>
        <w:rPr>
          <w:sz w:val="22"/>
          <w:szCs w:val="22"/>
        </w:rPr>
        <w:t>Нефиксированная часть оплаты труда членов исполнительных органов управления Банка и иных работников, принимающих риски, составляет не менее 40 процентов общего размера вознаграждений за отчетный период и определяется в зависимости от занимаемой должности и уровня ответственности.</w:t>
      </w:r>
    </w:p>
    <w:p w:rsidR="00773E2C" w:rsidRDefault="00805665">
      <w:pPr>
        <w:ind w:firstLine="567"/>
        <w:jc w:val="both"/>
        <w:rPr>
          <w:sz w:val="22"/>
          <w:szCs w:val="22"/>
        </w:rPr>
      </w:pPr>
      <w:r>
        <w:rPr>
          <w:sz w:val="22"/>
          <w:szCs w:val="22"/>
        </w:rPr>
        <w:t>Фактический размер нефиксированной части оплаты труда членов исполнительных органов управления Банка и иных работников, принимающих риски, определяется с учетом выполнения ключевых показателей эффективности (далее – КПЭ), установленных на отчетный период. КПЭ устанавливаются не реже одного раза в год с учетом количественных и качественных показателей, в том числе позволяющих учитывать значимые для Банка риски и доходность деятельности Банка, и базируются на целевых показателях, установленных в Стратегии и бизнес-плане Банка на соответствующий период.</w:t>
      </w:r>
    </w:p>
    <w:p w:rsidR="00773E2C" w:rsidRDefault="00805665">
      <w:pPr>
        <w:ind w:firstLine="567"/>
        <w:jc w:val="both"/>
        <w:rPr>
          <w:sz w:val="22"/>
          <w:szCs w:val="22"/>
        </w:rPr>
      </w:pPr>
      <w:r>
        <w:rPr>
          <w:sz w:val="22"/>
          <w:szCs w:val="22"/>
        </w:rPr>
        <w:t xml:space="preserve">Для работников, принимающих риски, применяется отсрочка (рассрочка) в размере 40 процентов от фактического размера нефиксированной части оплаты труда исходя из сроков получения финансовых результатов их деятельности на срок не менее трех лет, за исключением операций, окончательные финансовые результаты которых определяются ранее указанного срока. Отсроченная </w:t>
      </w:r>
      <w:r>
        <w:rPr>
          <w:sz w:val="22"/>
          <w:szCs w:val="22"/>
        </w:rPr>
        <w:lastRenderedPageBreak/>
        <w:t>(рассроченная) нефиксированная часть оплаты труда выплачивается равными долями в течение трех лет, начиная с года, следующего за отчетным периодом.</w:t>
      </w:r>
    </w:p>
    <w:p w:rsidR="00773E2C" w:rsidRDefault="00805665">
      <w:pPr>
        <w:ind w:firstLine="567"/>
        <w:jc w:val="both"/>
        <w:rPr>
          <w:sz w:val="22"/>
          <w:szCs w:val="22"/>
        </w:rPr>
      </w:pPr>
      <w:r>
        <w:rPr>
          <w:sz w:val="22"/>
          <w:szCs w:val="22"/>
        </w:rPr>
        <w:t>Нефиксированная часть оплаты труда работников подразделений, осуществляющих внутренний контроль, и работников, подразделений, осуществляющих управление рисками, составляет не более 50 процентов общего размера вознаграждения данных работников за отчетный период и зависит от качества выполнения работниками задач, возложенных на них положениями о подразделениях или закрепленных в Картах функций подразделений и (или) должностных инструкциях.</w:t>
      </w:r>
    </w:p>
    <w:p w:rsidR="00773E2C" w:rsidRDefault="00805665">
      <w:pPr>
        <w:ind w:firstLine="567"/>
        <w:jc w:val="both"/>
        <w:rPr>
          <w:sz w:val="22"/>
          <w:szCs w:val="22"/>
        </w:rPr>
      </w:pPr>
      <w:r>
        <w:rPr>
          <w:sz w:val="22"/>
          <w:szCs w:val="22"/>
        </w:rPr>
        <w:t>Банк обеспечивает независимость размера фонда оплаты труда подразделений, осуществляющих управление рисками, и подразделений, осуществляющих внутренний контроль, от финансового результата подразделений (органов), принимающих решения о совершении банковских операций и иных сделок.</w:t>
      </w:r>
    </w:p>
    <w:p w:rsidR="00773E2C" w:rsidRDefault="00805665">
      <w:pPr>
        <w:ind w:firstLine="567"/>
        <w:jc w:val="both"/>
        <w:rPr>
          <w:sz w:val="22"/>
          <w:szCs w:val="22"/>
        </w:rPr>
      </w:pPr>
      <w:r>
        <w:rPr>
          <w:sz w:val="22"/>
          <w:szCs w:val="22"/>
        </w:rPr>
        <w:t xml:space="preserve">Премия является негарантированной и непостоянной формой материального стимулирования достижения работниками Банка высоких результатов деятельности и качественного выполнения трудовых обязанностей, а также долгосрочных трудовых отношений с Банком. Параметры премирования регламентируются </w:t>
      </w:r>
      <w:r w:rsidR="005F6F1F">
        <w:rPr>
          <w:sz w:val="22"/>
          <w:szCs w:val="22"/>
        </w:rPr>
        <w:t>внутренними нормативными документами</w:t>
      </w:r>
      <w:r>
        <w:rPr>
          <w:sz w:val="22"/>
          <w:szCs w:val="22"/>
        </w:rPr>
        <w:t>, такими как положения о премировании и картами КПЭ.</w:t>
      </w:r>
    </w:p>
    <w:p w:rsidR="00773E2C" w:rsidRDefault="00805665">
      <w:pPr>
        <w:ind w:firstLine="567"/>
        <w:jc w:val="both"/>
        <w:rPr>
          <w:sz w:val="22"/>
          <w:szCs w:val="22"/>
        </w:rPr>
      </w:pPr>
      <w:r>
        <w:rPr>
          <w:sz w:val="22"/>
          <w:szCs w:val="22"/>
        </w:rPr>
        <w:t>При получении Банком негативного финансового результата может быть принято решение о корректировке фактического размера премии или об отмене выплаты.</w:t>
      </w:r>
    </w:p>
    <w:p w:rsidR="00773E2C" w:rsidRDefault="00805665">
      <w:pPr>
        <w:ind w:firstLine="567"/>
        <w:jc w:val="both"/>
        <w:rPr>
          <w:sz w:val="22"/>
          <w:szCs w:val="22"/>
        </w:rPr>
      </w:pPr>
      <w:r>
        <w:rPr>
          <w:sz w:val="22"/>
          <w:szCs w:val="22"/>
        </w:rPr>
        <w:t>В случае, если сумма единовременной премии работнику Банка превышает четыре годовых оклада, премия считается крупной, и выплата такой премии утверждается Наблюдательным советом Банка.</w:t>
      </w:r>
    </w:p>
    <w:p w:rsidR="00773E2C" w:rsidRDefault="00805665">
      <w:pPr>
        <w:ind w:firstLine="567"/>
        <w:jc w:val="both"/>
        <w:rPr>
          <w:sz w:val="22"/>
          <w:szCs w:val="22"/>
        </w:rPr>
      </w:pPr>
      <w:r>
        <w:rPr>
          <w:sz w:val="22"/>
          <w:szCs w:val="22"/>
        </w:rPr>
        <w:t xml:space="preserve">Членам исполнительных органов Банка и иным работникам, принимающим риски, не предусматривается вознаграждение в </w:t>
      </w:r>
      <w:proofErr w:type="spellStart"/>
      <w:r>
        <w:rPr>
          <w:sz w:val="22"/>
          <w:szCs w:val="22"/>
        </w:rPr>
        <w:t>неденежной</w:t>
      </w:r>
      <w:proofErr w:type="spellEnd"/>
      <w:r>
        <w:rPr>
          <w:sz w:val="22"/>
          <w:szCs w:val="22"/>
        </w:rPr>
        <w:t xml:space="preserve"> форме, в том числе вознаграждение акциями (или на основе акций) Банка, опционами (опционными договорами) на приобретение акций Банка. Данным работникам могут предоставляться социальные льготы в рамках и на условиях действующей в Банке социальной политики.</w:t>
      </w:r>
    </w:p>
    <w:p w:rsidR="00773E2C" w:rsidRDefault="00805665">
      <w:pPr>
        <w:ind w:firstLine="567"/>
        <w:jc w:val="both"/>
        <w:rPr>
          <w:sz w:val="22"/>
          <w:szCs w:val="22"/>
        </w:rPr>
      </w:pPr>
      <w:r>
        <w:rPr>
          <w:sz w:val="22"/>
          <w:szCs w:val="22"/>
        </w:rPr>
        <w:t>Члены исполнительных органов могут получать вознаграждение за работу в органах управления или на руководящих должностях организаций, входящих в состав Банковской группы.</w:t>
      </w:r>
    </w:p>
    <w:p w:rsidR="00773E2C" w:rsidRDefault="00773E2C">
      <w:pPr>
        <w:ind w:firstLine="567"/>
        <w:jc w:val="both"/>
        <w:rPr>
          <w:sz w:val="22"/>
          <w:szCs w:val="22"/>
        </w:rPr>
      </w:pPr>
    </w:p>
    <w:p w:rsidR="00773E2C" w:rsidRDefault="00805665">
      <w:pPr>
        <w:ind w:firstLine="567"/>
        <w:jc w:val="both"/>
        <w:rPr>
          <w:b/>
          <w:sz w:val="22"/>
          <w:szCs w:val="22"/>
        </w:rPr>
      </w:pPr>
      <w:r>
        <w:rPr>
          <w:b/>
          <w:sz w:val="22"/>
          <w:szCs w:val="22"/>
        </w:rPr>
        <w:t>Контроль за внедрением и реализацией политики в области вознаграждения</w:t>
      </w:r>
    </w:p>
    <w:p w:rsidR="00773E2C" w:rsidRDefault="00773E2C">
      <w:pPr>
        <w:ind w:firstLine="567"/>
        <w:jc w:val="both"/>
        <w:rPr>
          <w:sz w:val="22"/>
          <w:szCs w:val="22"/>
        </w:rPr>
      </w:pPr>
    </w:p>
    <w:p w:rsidR="00773E2C" w:rsidRDefault="00805665">
      <w:pPr>
        <w:ind w:firstLine="567"/>
        <w:jc w:val="both"/>
        <w:rPr>
          <w:sz w:val="22"/>
          <w:szCs w:val="22"/>
        </w:rPr>
      </w:pPr>
      <w:r>
        <w:rPr>
          <w:sz w:val="22"/>
          <w:szCs w:val="22"/>
        </w:rPr>
        <w:t xml:space="preserve">В ПАО «БАНК УРАЛСИБ» действует Комитет по кадрам, вознаграждениям и корпоративному управлению Наблюдательного совета Банка, </w:t>
      </w:r>
      <w:r w:rsidR="00AC246A">
        <w:rPr>
          <w:sz w:val="22"/>
          <w:szCs w:val="22"/>
        </w:rPr>
        <w:t xml:space="preserve">одной из функций </w:t>
      </w:r>
      <w:r>
        <w:rPr>
          <w:sz w:val="22"/>
          <w:szCs w:val="22"/>
        </w:rPr>
        <w:t xml:space="preserve">которого </w:t>
      </w:r>
      <w:r w:rsidR="00AC246A">
        <w:rPr>
          <w:sz w:val="22"/>
          <w:szCs w:val="22"/>
        </w:rPr>
        <w:t xml:space="preserve">является </w:t>
      </w:r>
      <w:r>
        <w:rPr>
          <w:sz w:val="22"/>
          <w:szCs w:val="22"/>
        </w:rPr>
        <w:t>подготовка решений Наблюдательного совета по вопросам организации и развития эффективной политики и прозрачной практики вознаграждения членов Наблюдательного совета, исполнительных органов и, в случаях, предусмотренных законодательством Российской Федерации, иных работников Банка, организации, мониторинга и контроля системы оплаты труда, оценки ее соответствия стратегии Банка, характеру и масштабу совершаемых операций, результатам его деятельности, уровню и сочетанию принимаемых рисков.</w:t>
      </w:r>
    </w:p>
    <w:p w:rsidR="00773E2C" w:rsidRDefault="00805665">
      <w:pPr>
        <w:ind w:firstLine="567"/>
        <w:jc w:val="both"/>
        <w:rPr>
          <w:sz w:val="22"/>
          <w:szCs w:val="22"/>
        </w:rPr>
      </w:pPr>
      <w:r>
        <w:rPr>
          <w:sz w:val="22"/>
          <w:szCs w:val="22"/>
        </w:rPr>
        <w:t>Члены Наблюдательного совета Банка, входящие в Комитет по кадрам, вознаграждениям и корпоративному управлению обладают достаточным опытом и квалификацией, позволяющими им принимать решения по вопросам, находящимся в компетенции Комитета по кадрам, вознаграждениям и корпоративному управлению. Члены Наблюдательного совета Банка, входящие в Комитет по кадрам, вознаграждениям и корпоративному управлению, не являются членами исполнительных органов Банка.</w:t>
      </w:r>
    </w:p>
    <w:p w:rsidR="00773E2C" w:rsidRDefault="00805665">
      <w:pPr>
        <w:ind w:firstLine="567"/>
        <w:jc w:val="both"/>
        <w:rPr>
          <w:sz w:val="22"/>
          <w:szCs w:val="22"/>
        </w:rPr>
      </w:pPr>
      <w:r>
        <w:rPr>
          <w:sz w:val="22"/>
          <w:szCs w:val="22"/>
        </w:rPr>
        <w:t>Деятельность Комитета по кадрам, вознаграждениям и корпоративному управлению регулируется Положением о Комитете по кадрам, вознаграждениям и корпоративному управлению Наблюдательного совета ПАО «БАНК УРАЛСИБ». В 2025 году действовала редакция Положения о Комитете по кадрам, вознаграждениям и корпоративному управлению Наблюдательного совета ПАО «БАНК УРАЛСИБ», утвержденная Наблюдательным советом 27 октября 2023 года.</w:t>
      </w:r>
    </w:p>
    <w:p w:rsidR="00773E2C" w:rsidRDefault="00805665">
      <w:pPr>
        <w:ind w:firstLine="567"/>
        <w:jc w:val="both"/>
        <w:rPr>
          <w:sz w:val="22"/>
          <w:szCs w:val="22"/>
        </w:rPr>
      </w:pPr>
      <w:r>
        <w:rPr>
          <w:sz w:val="22"/>
          <w:szCs w:val="22"/>
        </w:rPr>
        <w:t>Предотвращение (профилактика), выявление и урегулирование конфликта интересов при осуществлении контроля за внедрением и реализацией политики Банка в области вознаграждения обеспечивается системой внутреннего контроля Банка, в том числе, распределения полномочий и ответственности на всех уровнях управления Банка.</w:t>
      </w:r>
    </w:p>
    <w:p w:rsidR="00773E2C" w:rsidRDefault="00773E2C">
      <w:pPr>
        <w:ind w:firstLine="567"/>
        <w:jc w:val="both"/>
        <w:rPr>
          <w:color w:val="000000"/>
          <w:sz w:val="22"/>
          <w:szCs w:val="22"/>
        </w:rPr>
      </w:pPr>
    </w:p>
    <w:p w:rsidR="005D6701" w:rsidRDefault="005D6701">
      <w:pPr>
        <w:ind w:firstLine="567"/>
        <w:jc w:val="both"/>
        <w:rPr>
          <w:color w:val="000000"/>
          <w:sz w:val="22"/>
          <w:szCs w:val="22"/>
        </w:rPr>
      </w:pPr>
    </w:p>
    <w:p w:rsidR="005D6701" w:rsidRDefault="005D6701">
      <w:pPr>
        <w:ind w:firstLine="567"/>
        <w:jc w:val="both"/>
        <w:rPr>
          <w:color w:val="000000"/>
          <w:sz w:val="22"/>
          <w:szCs w:val="22"/>
        </w:rPr>
      </w:pPr>
    </w:p>
    <w:p w:rsidR="00773E2C" w:rsidRDefault="00805665">
      <w:pPr>
        <w:ind w:firstLine="567"/>
        <w:jc w:val="both"/>
        <w:rPr>
          <w:b/>
          <w:color w:val="000000"/>
          <w:sz w:val="22"/>
          <w:szCs w:val="22"/>
        </w:rPr>
      </w:pPr>
      <w:r>
        <w:rPr>
          <w:b/>
          <w:color w:val="000000"/>
          <w:sz w:val="22"/>
          <w:szCs w:val="22"/>
        </w:rPr>
        <w:lastRenderedPageBreak/>
        <w:t>Сведения о размере вознаграждения членам Правления, членам Наблюдательного совета и иным ключевым менеджерам Банка</w:t>
      </w:r>
    </w:p>
    <w:p w:rsidR="00773E2C" w:rsidRDefault="00773E2C">
      <w:pPr>
        <w:ind w:firstLine="567"/>
        <w:jc w:val="both"/>
        <w:rPr>
          <w:color w:val="000000"/>
          <w:sz w:val="22"/>
          <w:szCs w:val="22"/>
        </w:rPr>
      </w:pPr>
    </w:p>
    <w:p w:rsidR="00773E2C" w:rsidRDefault="00805665">
      <w:pPr>
        <w:ind w:firstLine="567"/>
        <w:jc w:val="both"/>
        <w:rPr>
          <w:i/>
          <w:color w:val="000000"/>
          <w:sz w:val="22"/>
          <w:szCs w:val="22"/>
        </w:rPr>
      </w:pPr>
      <w:r>
        <w:rPr>
          <w:rFonts w:eastAsia="Calibri"/>
          <w:b/>
          <w:sz w:val="22"/>
          <w:szCs w:val="22"/>
          <w:lang w:eastAsia="en-US"/>
        </w:rPr>
        <w:t xml:space="preserve">Таблица 4.12.1 </w:t>
      </w:r>
      <w:r>
        <w:rPr>
          <w:b/>
          <w:color w:val="000000"/>
          <w:sz w:val="22"/>
          <w:szCs w:val="22"/>
        </w:rPr>
        <w:t>Информация о выплатах членам Правления Банка в 2025 году</w:t>
      </w:r>
    </w:p>
    <w:p w:rsidR="00773E2C" w:rsidRDefault="00773E2C">
      <w:pPr>
        <w:ind w:firstLine="567"/>
        <w:jc w:val="both"/>
        <w:rPr>
          <w:color w:val="000000"/>
          <w:sz w:val="22"/>
          <w:szCs w:val="22"/>
        </w:rPr>
      </w:pPr>
    </w:p>
    <w:tbl>
      <w:tblPr>
        <w:tblW w:w="9930" w:type="dxa"/>
        <w:tblInd w:w="93" w:type="dxa"/>
        <w:tblLook w:val="04A0" w:firstRow="1" w:lastRow="0" w:firstColumn="1" w:lastColumn="0" w:noHBand="0" w:noVBand="1"/>
      </w:tblPr>
      <w:tblGrid>
        <w:gridCol w:w="6510"/>
        <w:gridCol w:w="1652"/>
        <w:gridCol w:w="1768"/>
      </w:tblGrid>
      <w:tr w:rsidR="00773E2C">
        <w:trPr>
          <w:trHeight w:val="381"/>
        </w:trPr>
        <w:tc>
          <w:tcPr>
            <w:tcW w:w="6510" w:type="dxa"/>
            <w:tcBorders>
              <w:top w:val="single" w:sz="4" w:space="0" w:color="auto"/>
              <w:left w:val="single" w:sz="4" w:space="0" w:color="auto"/>
              <w:bottom w:val="single" w:sz="4" w:space="0" w:color="auto"/>
              <w:right w:val="single" w:sz="4" w:space="0" w:color="000000"/>
            </w:tcBorders>
            <w:shd w:val="clear" w:color="auto" w:fill="auto"/>
            <w:vAlign w:val="center"/>
          </w:tcPr>
          <w:p w:rsidR="00773E2C" w:rsidRDefault="00805665">
            <w:pPr>
              <w:jc w:val="center"/>
              <w:rPr>
                <w:b/>
                <w:bCs/>
                <w:sz w:val="20"/>
                <w:szCs w:val="20"/>
              </w:rPr>
            </w:pPr>
            <w:r>
              <w:rPr>
                <w:b/>
                <w:bCs/>
                <w:sz w:val="20"/>
                <w:szCs w:val="20"/>
              </w:rPr>
              <w:t>Вид (элемент) вознаграждения</w:t>
            </w:r>
          </w:p>
        </w:tc>
        <w:tc>
          <w:tcPr>
            <w:tcW w:w="1652"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b/>
                <w:bCs/>
                <w:sz w:val="20"/>
                <w:szCs w:val="20"/>
              </w:rPr>
            </w:pPr>
            <w:r>
              <w:rPr>
                <w:b/>
                <w:bCs/>
                <w:sz w:val="20"/>
                <w:szCs w:val="20"/>
              </w:rPr>
              <w:t>Отчетный период,</w:t>
            </w:r>
          </w:p>
          <w:p w:rsidR="00773E2C" w:rsidRDefault="00805665">
            <w:pPr>
              <w:jc w:val="center"/>
              <w:rPr>
                <w:b/>
                <w:bCs/>
                <w:sz w:val="20"/>
                <w:szCs w:val="20"/>
              </w:rPr>
            </w:pPr>
            <w:r>
              <w:rPr>
                <w:b/>
                <w:bCs/>
                <w:sz w:val="20"/>
                <w:szCs w:val="20"/>
              </w:rPr>
              <w:t>руб.</w:t>
            </w:r>
          </w:p>
        </w:tc>
        <w:tc>
          <w:tcPr>
            <w:tcW w:w="1768" w:type="dxa"/>
            <w:tcBorders>
              <w:top w:val="single" w:sz="4" w:space="0" w:color="auto"/>
              <w:left w:val="nil"/>
              <w:bottom w:val="single" w:sz="4" w:space="0" w:color="auto"/>
              <w:right w:val="single" w:sz="4" w:space="0" w:color="000000"/>
            </w:tcBorders>
            <w:vAlign w:val="center"/>
          </w:tcPr>
          <w:p w:rsidR="00773E2C" w:rsidRDefault="00805665">
            <w:pPr>
              <w:jc w:val="center"/>
              <w:rPr>
                <w:b/>
                <w:bCs/>
                <w:sz w:val="20"/>
                <w:szCs w:val="20"/>
              </w:rPr>
            </w:pPr>
            <w:r>
              <w:rPr>
                <w:b/>
                <w:bCs/>
                <w:sz w:val="20"/>
                <w:szCs w:val="20"/>
              </w:rPr>
              <w:t>Предыдущий отчетный период, руб.</w:t>
            </w:r>
          </w:p>
        </w:tc>
      </w:tr>
      <w:tr w:rsidR="00773E2C">
        <w:trPr>
          <w:trHeight w:val="330"/>
        </w:trPr>
        <w:tc>
          <w:tcPr>
            <w:tcW w:w="993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773E2C" w:rsidRDefault="00805665">
            <w:pPr>
              <w:jc w:val="center"/>
              <w:rPr>
                <w:b/>
                <w:bCs/>
                <w:sz w:val="20"/>
                <w:szCs w:val="20"/>
              </w:rPr>
            </w:pPr>
            <w:r>
              <w:rPr>
                <w:b/>
                <w:bCs/>
                <w:sz w:val="20"/>
                <w:szCs w:val="20"/>
              </w:rPr>
              <w:t>Фиксированная часть вознаграждения</w:t>
            </w:r>
          </w:p>
        </w:tc>
      </w:tr>
      <w:tr w:rsidR="00773E2C">
        <w:trPr>
          <w:trHeight w:val="546"/>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Заработная плата сотрудников Банка (должностной оклад, денежное вознаграждение за исполнение должностных обязанностей и т.п.), в том числе работающих по совместительству</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155 421 155</w:t>
            </w:r>
          </w:p>
        </w:tc>
        <w:tc>
          <w:tcPr>
            <w:tcW w:w="1768"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rPr>
            </w:pPr>
            <w:r>
              <w:rPr>
                <w:sz w:val="20"/>
                <w:szCs w:val="20"/>
              </w:rPr>
              <w:t>148 334 004</w:t>
            </w:r>
          </w:p>
        </w:tc>
      </w:tr>
      <w:tr w:rsidR="00773E2C">
        <w:trPr>
          <w:trHeight w:val="315"/>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Прочее фиксированное вознаграждение</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16 619</w:t>
            </w:r>
          </w:p>
        </w:tc>
        <w:tc>
          <w:tcPr>
            <w:tcW w:w="1768"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rPr>
            </w:pPr>
            <w:r>
              <w:rPr>
                <w:sz w:val="20"/>
                <w:szCs w:val="20"/>
              </w:rPr>
              <w:t>74 820</w:t>
            </w:r>
          </w:p>
        </w:tc>
      </w:tr>
      <w:tr w:rsidR="00773E2C">
        <w:trPr>
          <w:trHeight w:val="315"/>
        </w:trPr>
        <w:tc>
          <w:tcPr>
            <w:tcW w:w="993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773E2C" w:rsidRDefault="00805665">
            <w:pPr>
              <w:jc w:val="center"/>
              <w:rPr>
                <w:b/>
                <w:bCs/>
                <w:sz w:val="20"/>
                <w:szCs w:val="20"/>
              </w:rPr>
            </w:pPr>
            <w:r>
              <w:rPr>
                <w:b/>
                <w:bCs/>
                <w:sz w:val="20"/>
                <w:szCs w:val="20"/>
              </w:rPr>
              <w:t>Итого</w:t>
            </w:r>
          </w:p>
        </w:tc>
      </w:tr>
      <w:tr w:rsidR="00773E2C">
        <w:trPr>
          <w:trHeight w:val="327"/>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Общий размер фиксированной части вознаграждения</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155 437 774</w:t>
            </w:r>
          </w:p>
        </w:tc>
        <w:tc>
          <w:tcPr>
            <w:tcW w:w="1768"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rPr>
            </w:pPr>
            <w:r>
              <w:rPr>
                <w:sz w:val="20"/>
                <w:szCs w:val="20"/>
              </w:rPr>
              <w:t>148 408 824</w:t>
            </w:r>
          </w:p>
        </w:tc>
      </w:tr>
      <w:tr w:rsidR="00773E2C">
        <w:trPr>
          <w:trHeight w:val="330"/>
        </w:trPr>
        <w:tc>
          <w:tcPr>
            <w:tcW w:w="993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773E2C" w:rsidRDefault="00805665">
            <w:pPr>
              <w:jc w:val="center"/>
              <w:rPr>
                <w:b/>
                <w:bCs/>
                <w:sz w:val="20"/>
                <w:szCs w:val="20"/>
              </w:rPr>
            </w:pPr>
            <w:r>
              <w:rPr>
                <w:b/>
                <w:bCs/>
                <w:sz w:val="20"/>
                <w:szCs w:val="20"/>
              </w:rPr>
              <w:t>Переменная часть вознаграждения</w:t>
            </w:r>
          </w:p>
        </w:tc>
      </w:tr>
      <w:tr w:rsidR="00773E2C">
        <w:trPr>
          <w:trHeight w:val="315"/>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Начисленные премии (бонусы)</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768" w:type="dxa"/>
            <w:tcBorders>
              <w:top w:val="single" w:sz="4" w:space="0" w:color="auto"/>
              <w:left w:val="nil"/>
              <w:bottom w:val="single" w:sz="4" w:space="0" w:color="auto"/>
              <w:right w:val="single" w:sz="4" w:space="0" w:color="000000"/>
            </w:tcBorders>
            <w:shd w:val="clear" w:color="auto" w:fill="auto"/>
          </w:tcPr>
          <w:p w:rsidR="00773E2C" w:rsidRDefault="00805665">
            <w:pPr>
              <w:jc w:val="center"/>
              <w:rPr>
                <w:sz w:val="20"/>
                <w:szCs w:val="20"/>
              </w:rPr>
            </w:pPr>
            <w:r>
              <w:rPr>
                <w:sz w:val="20"/>
                <w:szCs w:val="20"/>
              </w:rPr>
              <w:t>-</w:t>
            </w:r>
          </w:p>
        </w:tc>
      </w:tr>
      <w:tr w:rsidR="00773E2C">
        <w:trPr>
          <w:trHeight w:val="465"/>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rPr>
                <w:sz w:val="20"/>
                <w:szCs w:val="20"/>
              </w:rPr>
            </w:pPr>
            <w:r>
              <w:rPr>
                <w:sz w:val="20"/>
                <w:szCs w:val="20"/>
              </w:rPr>
              <w:t>в том числе:</w:t>
            </w:r>
          </w:p>
          <w:p w:rsidR="00773E2C" w:rsidRDefault="00805665">
            <w:pPr>
              <w:rPr>
                <w:sz w:val="20"/>
                <w:szCs w:val="20"/>
              </w:rPr>
            </w:pPr>
            <w:r>
              <w:rPr>
                <w:sz w:val="20"/>
                <w:szCs w:val="20"/>
              </w:rPr>
              <w:t>в рамках программы краткосрочной мотивации</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151 103 678</w:t>
            </w:r>
          </w:p>
        </w:tc>
        <w:tc>
          <w:tcPr>
            <w:tcW w:w="1768"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lang w:val="en-US"/>
              </w:rPr>
            </w:pPr>
            <w:r>
              <w:rPr>
                <w:sz w:val="20"/>
                <w:szCs w:val="20"/>
              </w:rPr>
              <w:t>238 900 119</w:t>
            </w:r>
          </w:p>
        </w:tc>
      </w:tr>
      <w:tr w:rsidR="00773E2C">
        <w:trPr>
          <w:trHeight w:val="353"/>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в рамках программы долгосрочной мотивации*</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69 340 045</w:t>
            </w:r>
          </w:p>
        </w:tc>
        <w:tc>
          <w:tcPr>
            <w:tcW w:w="1768"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rPr>
            </w:pPr>
            <w:r>
              <w:rPr>
                <w:sz w:val="20"/>
                <w:szCs w:val="20"/>
              </w:rPr>
              <w:t>64 679 959</w:t>
            </w:r>
          </w:p>
        </w:tc>
      </w:tr>
      <w:tr w:rsidR="00773E2C">
        <w:trPr>
          <w:trHeight w:val="338"/>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Общий размер корректировки переменной части отложенного вознаграждения предыдущих периодов с учетом достигнутых результатов и по прочим основаниям **</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-23 162 555-</w:t>
            </w:r>
          </w:p>
        </w:tc>
        <w:tc>
          <w:tcPr>
            <w:tcW w:w="1768"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rPr>
            </w:pPr>
            <w:r>
              <w:rPr>
                <w:sz w:val="20"/>
                <w:szCs w:val="20"/>
              </w:rPr>
              <w:t>-</w:t>
            </w:r>
          </w:p>
        </w:tc>
      </w:tr>
      <w:tr w:rsidR="00773E2C">
        <w:trPr>
          <w:trHeight w:val="325"/>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Начисленное вознаграждение, выплачиваемое на основе акций</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768" w:type="dxa"/>
            <w:tcBorders>
              <w:top w:val="single" w:sz="4" w:space="0" w:color="auto"/>
              <w:left w:val="nil"/>
              <w:bottom w:val="single" w:sz="4" w:space="0" w:color="auto"/>
              <w:right w:val="single" w:sz="4" w:space="0" w:color="000000"/>
            </w:tcBorders>
            <w:vAlign w:val="center"/>
          </w:tcPr>
          <w:p w:rsidR="00773E2C" w:rsidRDefault="00805665">
            <w:pPr>
              <w:jc w:val="center"/>
              <w:rPr>
                <w:sz w:val="20"/>
                <w:szCs w:val="20"/>
                <w:lang w:val="en-US"/>
              </w:rPr>
            </w:pPr>
            <w:r>
              <w:rPr>
                <w:sz w:val="20"/>
                <w:szCs w:val="20"/>
                <w:lang w:val="en-US"/>
              </w:rPr>
              <w:t>-</w:t>
            </w:r>
          </w:p>
        </w:tc>
      </w:tr>
      <w:tr w:rsidR="00773E2C">
        <w:trPr>
          <w:trHeight w:val="366"/>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rPr>
                <w:sz w:val="20"/>
                <w:szCs w:val="20"/>
              </w:rPr>
            </w:pPr>
            <w:r>
              <w:rPr>
                <w:sz w:val="20"/>
                <w:szCs w:val="20"/>
              </w:rPr>
              <w:t>в том числе:</w:t>
            </w:r>
          </w:p>
          <w:p w:rsidR="00773E2C" w:rsidRDefault="00805665">
            <w:pPr>
              <w:rPr>
                <w:sz w:val="20"/>
                <w:szCs w:val="20"/>
              </w:rPr>
            </w:pPr>
            <w:r>
              <w:rPr>
                <w:sz w:val="20"/>
                <w:szCs w:val="20"/>
              </w:rPr>
              <w:t>в рамках программы краткосрочной мотивации</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768" w:type="dxa"/>
            <w:tcBorders>
              <w:top w:val="single" w:sz="4" w:space="0" w:color="auto"/>
              <w:left w:val="nil"/>
              <w:bottom w:val="single" w:sz="4" w:space="0" w:color="auto"/>
              <w:right w:val="single" w:sz="4" w:space="0" w:color="000000"/>
            </w:tcBorders>
            <w:vAlign w:val="center"/>
          </w:tcPr>
          <w:p w:rsidR="00773E2C" w:rsidRDefault="00805665">
            <w:pPr>
              <w:jc w:val="center"/>
              <w:rPr>
                <w:sz w:val="20"/>
                <w:szCs w:val="20"/>
                <w:lang w:val="en-US"/>
              </w:rPr>
            </w:pPr>
            <w:r>
              <w:rPr>
                <w:sz w:val="20"/>
                <w:szCs w:val="20"/>
                <w:lang w:val="en-US"/>
              </w:rPr>
              <w:t>-</w:t>
            </w:r>
          </w:p>
        </w:tc>
      </w:tr>
      <w:tr w:rsidR="00773E2C">
        <w:trPr>
          <w:trHeight w:val="296"/>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в рамках программы долгосрочной мотивации</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768" w:type="dxa"/>
            <w:tcBorders>
              <w:top w:val="single" w:sz="4" w:space="0" w:color="auto"/>
              <w:left w:val="nil"/>
              <w:bottom w:val="single" w:sz="4" w:space="0" w:color="auto"/>
              <w:right w:val="single" w:sz="4" w:space="0" w:color="000000"/>
            </w:tcBorders>
            <w:vAlign w:val="center"/>
          </w:tcPr>
          <w:p w:rsidR="00773E2C" w:rsidRDefault="00805665">
            <w:pPr>
              <w:jc w:val="center"/>
              <w:rPr>
                <w:sz w:val="20"/>
                <w:szCs w:val="20"/>
                <w:lang w:val="en-US"/>
              </w:rPr>
            </w:pPr>
            <w:r>
              <w:rPr>
                <w:sz w:val="20"/>
                <w:szCs w:val="20"/>
                <w:lang w:val="en-US"/>
              </w:rPr>
              <w:t>-</w:t>
            </w:r>
          </w:p>
        </w:tc>
      </w:tr>
      <w:tr w:rsidR="00773E2C">
        <w:trPr>
          <w:trHeight w:val="464"/>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Скорректированное с учетом достигнутых результатов вознаграждение, выплачиваемое на основе акций</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768" w:type="dxa"/>
            <w:tcBorders>
              <w:top w:val="single" w:sz="4" w:space="0" w:color="auto"/>
              <w:left w:val="nil"/>
              <w:bottom w:val="single" w:sz="4" w:space="0" w:color="auto"/>
              <w:right w:val="single" w:sz="4" w:space="0" w:color="000000"/>
            </w:tcBorders>
            <w:vAlign w:val="center"/>
          </w:tcPr>
          <w:p w:rsidR="00773E2C" w:rsidRDefault="00805665">
            <w:pPr>
              <w:jc w:val="center"/>
              <w:rPr>
                <w:sz w:val="20"/>
                <w:szCs w:val="20"/>
                <w:lang w:val="en-US"/>
              </w:rPr>
            </w:pPr>
            <w:r>
              <w:rPr>
                <w:sz w:val="20"/>
                <w:szCs w:val="20"/>
                <w:lang w:val="en-US"/>
              </w:rPr>
              <w:t>-</w:t>
            </w:r>
          </w:p>
        </w:tc>
      </w:tr>
      <w:tr w:rsidR="00773E2C">
        <w:trPr>
          <w:trHeight w:val="814"/>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Переменное вознаграждение за работу в органах управления или на руководящих должностях в других организациях, входящих в группу общества</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768" w:type="dxa"/>
            <w:tcBorders>
              <w:top w:val="single" w:sz="4" w:space="0" w:color="auto"/>
              <w:left w:val="nil"/>
              <w:bottom w:val="single" w:sz="4" w:space="0" w:color="auto"/>
              <w:right w:val="single" w:sz="4" w:space="0" w:color="000000"/>
            </w:tcBorders>
            <w:vAlign w:val="center"/>
          </w:tcPr>
          <w:p w:rsidR="00773E2C" w:rsidRDefault="00805665">
            <w:pPr>
              <w:jc w:val="center"/>
              <w:rPr>
                <w:sz w:val="20"/>
                <w:szCs w:val="20"/>
                <w:lang w:val="en-US"/>
              </w:rPr>
            </w:pPr>
            <w:r>
              <w:rPr>
                <w:sz w:val="20"/>
                <w:szCs w:val="20"/>
                <w:lang w:val="en-US"/>
              </w:rPr>
              <w:t>-</w:t>
            </w:r>
          </w:p>
        </w:tc>
      </w:tr>
      <w:tr w:rsidR="00773E2C">
        <w:trPr>
          <w:trHeight w:val="450"/>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rPr>
                <w:sz w:val="20"/>
                <w:szCs w:val="20"/>
              </w:rPr>
            </w:pPr>
            <w:r>
              <w:rPr>
                <w:sz w:val="20"/>
                <w:szCs w:val="20"/>
              </w:rPr>
              <w:t>в том числе:</w:t>
            </w:r>
          </w:p>
          <w:p w:rsidR="00773E2C" w:rsidRDefault="00805665">
            <w:pPr>
              <w:rPr>
                <w:sz w:val="20"/>
                <w:szCs w:val="20"/>
              </w:rPr>
            </w:pPr>
            <w:r>
              <w:rPr>
                <w:sz w:val="20"/>
                <w:szCs w:val="20"/>
              </w:rPr>
              <w:t>в рамках программы краткосрочной мотивации</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768" w:type="dxa"/>
            <w:tcBorders>
              <w:top w:val="single" w:sz="4" w:space="0" w:color="auto"/>
              <w:left w:val="nil"/>
              <w:bottom w:val="single" w:sz="4" w:space="0" w:color="auto"/>
              <w:right w:val="single" w:sz="4" w:space="0" w:color="000000"/>
            </w:tcBorders>
            <w:vAlign w:val="center"/>
          </w:tcPr>
          <w:p w:rsidR="00773E2C" w:rsidRDefault="00805665">
            <w:pPr>
              <w:jc w:val="center"/>
              <w:rPr>
                <w:sz w:val="20"/>
                <w:szCs w:val="20"/>
                <w:lang w:val="en-US"/>
              </w:rPr>
            </w:pPr>
            <w:r>
              <w:rPr>
                <w:sz w:val="20"/>
                <w:szCs w:val="20"/>
                <w:lang w:val="en-US"/>
              </w:rPr>
              <w:t>-</w:t>
            </w:r>
          </w:p>
        </w:tc>
      </w:tr>
      <w:tr w:rsidR="00773E2C">
        <w:trPr>
          <w:trHeight w:val="296"/>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в рамках программы долгосрочной мотивации</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768" w:type="dxa"/>
            <w:tcBorders>
              <w:top w:val="single" w:sz="4" w:space="0" w:color="auto"/>
              <w:left w:val="nil"/>
              <w:bottom w:val="single" w:sz="4" w:space="0" w:color="auto"/>
              <w:right w:val="single" w:sz="4" w:space="0" w:color="000000"/>
            </w:tcBorders>
            <w:vAlign w:val="center"/>
          </w:tcPr>
          <w:p w:rsidR="00773E2C" w:rsidRDefault="00805665">
            <w:pPr>
              <w:jc w:val="center"/>
              <w:rPr>
                <w:sz w:val="20"/>
                <w:szCs w:val="20"/>
                <w:lang w:val="en-US"/>
              </w:rPr>
            </w:pPr>
            <w:r>
              <w:rPr>
                <w:sz w:val="20"/>
                <w:szCs w:val="20"/>
                <w:lang w:val="en-US"/>
              </w:rPr>
              <w:t>-</w:t>
            </w:r>
          </w:p>
        </w:tc>
      </w:tr>
      <w:tr w:rsidR="00773E2C">
        <w:trPr>
          <w:trHeight w:val="699"/>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Скорректированное с учетом достигнутых результатов переменное вознаграждение за работу в органах управления или на руководящих должностях в других организациях, входящих в группу общества</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768" w:type="dxa"/>
            <w:tcBorders>
              <w:top w:val="single" w:sz="4" w:space="0" w:color="auto"/>
              <w:left w:val="nil"/>
              <w:bottom w:val="single" w:sz="4" w:space="0" w:color="auto"/>
              <w:right w:val="single" w:sz="4" w:space="0" w:color="000000"/>
            </w:tcBorders>
            <w:vAlign w:val="center"/>
          </w:tcPr>
          <w:p w:rsidR="00773E2C" w:rsidRDefault="00805665">
            <w:pPr>
              <w:jc w:val="center"/>
              <w:rPr>
                <w:sz w:val="20"/>
                <w:szCs w:val="20"/>
                <w:lang w:val="en-US"/>
              </w:rPr>
            </w:pPr>
            <w:r>
              <w:rPr>
                <w:sz w:val="20"/>
                <w:szCs w:val="20"/>
                <w:lang w:val="en-US"/>
              </w:rPr>
              <w:t>-</w:t>
            </w:r>
          </w:p>
        </w:tc>
      </w:tr>
      <w:tr w:rsidR="00773E2C">
        <w:trPr>
          <w:trHeight w:val="315"/>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Прочее переменное вознаграждение</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768" w:type="dxa"/>
            <w:tcBorders>
              <w:top w:val="single" w:sz="4" w:space="0" w:color="auto"/>
              <w:left w:val="nil"/>
              <w:bottom w:val="single" w:sz="4" w:space="0" w:color="auto"/>
              <w:right w:val="single" w:sz="4" w:space="0" w:color="000000"/>
            </w:tcBorders>
            <w:vAlign w:val="center"/>
          </w:tcPr>
          <w:p w:rsidR="00773E2C" w:rsidRDefault="00805665">
            <w:pPr>
              <w:jc w:val="center"/>
              <w:rPr>
                <w:sz w:val="20"/>
                <w:szCs w:val="20"/>
                <w:lang w:val="en-US"/>
              </w:rPr>
            </w:pPr>
            <w:r>
              <w:rPr>
                <w:sz w:val="20"/>
                <w:szCs w:val="20"/>
                <w:lang w:val="en-US"/>
              </w:rPr>
              <w:t>-</w:t>
            </w:r>
          </w:p>
        </w:tc>
      </w:tr>
      <w:tr w:rsidR="00773E2C">
        <w:trPr>
          <w:trHeight w:val="274"/>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Возвращенные суммы, выплаченные в качестве переменной части вознаграждения</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768" w:type="dxa"/>
            <w:tcBorders>
              <w:top w:val="single" w:sz="4" w:space="0" w:color="auto"/>
              <w:left w:val="nil"/>
              <w:bottom w:val="single" w:sz="4" w:space="0" w:color="auto"/>
              <w:right w:val="single" w:sz="4" w:space="0" w:color="000000"/>
            </w:tcBorders>
            <w:vAlign w:val="center"/>
          </w:tcPr>
          <w:p w:rsidR="00773E2C" w:rsidRDefault="00805665">
            <w:pPr>
              <w:jc w:val="center"/>
              <w:rPr>
                <w:sz w:val="20"/>
                <w:szCs w:val="20"/>
                <w:lang w:val="en-US"/>
              </w:rPr>
            </w:pPr>
            <w:r>
              <w:rPr>
                <w:sz w:val="20"/>
                <w:szCs w:val="20"/>
                <w:lang w:val="en-US"/>
              </w:rPr>
              <w:t>-</w:t>
            </w:r>
          </w:p>
        </w:tc>
      </w:tr>
      <w:tr w:rsidR="00773E2C">
        <w:trPr>
          <w:trHeight w:val="315"/>
        </w:trPr>
        <w:tc>
          <w:tcPr>
            <w:tcW w:w="993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773E2C" w:rsidRDefault="00805665">
            <w:pPr>
              <w:jc w:val="center"/>
              <w:rPr>
                <w:b/>
                <w:bCs/>
                <w:sz w:val="20"/>
                <w:szCs w:val="20"/>
              </w:rPr>
            </w:pPr>
            <w:r>
              <w:rPr>
                <w:b/>
                <w:bCs/>
                <w:sz w:val="20"/>
                <w:szCs w:val="20"/>
              </w:rPr>
              <w:t>Итого</w:t>
            </w:r>
          </w:p>
        </w:tc>
      </w:tr>
      <w:tr w:rsidR="00773E2C">
        <w:trPr>
          <w:trHeight w:val="325"/>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Общий начисленный размер переменной части вознаграждения*</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220 443 723</w:t>
            </w:r>
          </w:p>
        </w:tc>
        <w:tc>
          <w:tcPr>
            <w:tcW w:w="1768"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rPr>
            </w:pPr>
            <w:r>
              <w:rPr>
                <w:sz w:val="20"/>
                <w:szCs w:val="20"/>
              </w:rPr>
              <w:t>303 580 078</w:t>
            </w:r>
          </w:p>
        </w:tc>
      </w:tr>
      <w:tr w:rsidR="00773E2C">
        <w:trPr>
          <w:trHeight w:val="620"/>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Общий размер корректировки переменной части отложенного вознаграждения предыдущих периодов с учетом достигнутых результатов и по прочим основаниям **</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- 23 162 555</w:t>
            </w:r>
          </w:p>
        </w:tc>
        <w:tc>
          <w:tcPr>
            <w:tcW w:w="1768"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rPr>
            </w:pPr>
            <w:r>
              <w:rPr>
                <w:sz w:val="20"/>
                <w:szCs w:val="20"/>
              </w:rPr>
              <w:t>-</w:t>
            </w:r>
          </w:p>
        </w:tc>
      </w:tr>
      <w:tr w:rsidR="00773E2C">
        <w:trPr>
          <w:trHeight w:val="479"/>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Общий скорректированный размер переменной части вознаграждения к выплате</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359 686 493</w:t>
            </w:r>
          </w:p>
        </w:tc>
        <w:tc>
          <w:tcPr>
            <w:tcW w:w="1768"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rPr>
            </w:pPr>
            <w:r>
              <w:rPr>
                <w:sz w:val="20"/>
                <w:szCs w:val="20"/>
              </w:rPr>
              <w:t>478 367 223</w:t>
            </w:r>
          </w:p>
        </w:tc>
      </w:tr>
      <w:tr w:rsidR="00773E2C">
        <w:trPr>
          <w:trHeight w:val="535"/>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rPr>
                <w:sz w:val="20"/>
                <w:szCs w:val="20"/>
              </w:rPr>
            </w:pPr>
            <w:r>
              <w:rPr>
                <w:sz w:val="20"/>
                <w:szCs w:val="20"/>
              </w:rPr>
              <w:t>в том числе:</w:t>
            </w:r>
          </w:p>
          <w:p w:rsidR="00773E2C" w:rsidRDefault="00805665">
            <w:pPr>
              <w:rPr>
                <w:sz w:val="20"/>
                <w:szCs w:val="20"/>
              </w:rPr>
            </w:pPr>
            <w:r>
              <w:rPr>
                <w:sz w:val="20"/>
                <w:szCs w:val="20"/>
              </w:rPr>
              <w:t>выплаченная переменная часть вознаграждения**</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151 103 678</w:t>
            </w:r>
          </w:p>
        </w:tc>
        <w:tc>
          <w:tcPr>
            <w:tcW w:w="1768"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lang w:val="en-US"/>
              </w:rPr>
            </w:pPr>
            <w:r>
              <w:rPr>
                <w:sz w:val="20"/>
                <w:szCs w:val="20"/>
              </w:rPr>
              <w:t>238 900 119</w:t>
            </w:r>
          </w:p>
        </w:tc>
      </w:tr>
      <w:tr w:rsidR="00773E2C">
        <w:trPr>
          <w:trHeight w:val="395"/>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выплаченная переменная часть отложенного вознаграждения предыдущих периодов, скорректированная с учетом достигнутых результатов и по прочим основаниям **</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82 536 912</w:t>
            </w:r>
          </w:p>
        </w:tc>
        <w:tc>
          <w:tcPr>
            <w:tcW w:w="1768"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rPr>
            </w:pPr>
            <w:r>
              <w:rPr>
                <w:sz w:val="20"/>
                <w:szCs w:val="20"/>
              </w:rPr>
              <w:t>108 599 638</w:t>
            </w:r>
          </w:p>
        </w:tc>
      </w:tr>
      <w:tr w:rsidR="00773E2C">
        <w:trPr>
          <w:trHeight w:val="395"/>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переменная часть вознаграждения (в том числе за предыдущие периоды), выплата которого отложена *</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126 045 903</w:t>
            </w:r>
          </w:p>
        </w:tc>
        <w:tc>
          <w:tcPr>
            <w:tcW w:w="1768"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lang w:val="en-US"/>
              </w:rPr>
            </w:pPr>
            <w:r>
              <w:rPr>
                <w:sz w:val="20"/>
                <w:szCs w:val="20"/>
              </w:rPr>
              <w:t>130 867 465</w:t>
            </w:r>
          </w:p>
        </w:tc>
      </w:tr>
      <w:tr w:rsidR="00773E2C">
        <w:trPr>
          <w:trHeight w:val="630"/>
        </w:trPr>
        <w:tc>
          <w:tcPr>
            <w:tcW w:w="993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73E2C" w:rsidRDefault="00805665">
            <w:pPr>
              <w:jc w:val="center"/>
              <w:rPr>
                <w:b/>
                <w:bCs/>
                <w:sz w:val="20"/>
                <w:szCs w:val="20"/>
              </w:rPr>
            </w:pPr>
            <w:r>
              <w:rPr>
                <w:b/>
                <w:bCs/>
                <w:sz w:val="20"/>
                <w:szCs w:val="20"/>
              </w:rPr>
              <w:lastRenderedPageBreak/>
              <w:t>Выходные пособия, компенсации и иные выплаты в связи с досрочным прекращением полномочий («золотые парашюты»)</w:t>
            </w:r>
          </w:p>
        </w:tc>
      </w:tr>
      <w:tr w:rsidR="00773E2C">
        <w:trPr>
          <w:trHeight w:val="590"/>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Начисленные выходные пособия, компенсации и иные выплаты в связи с досрочным прекращением полномочий</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72 022 135</w:t>
            </w:r>
          </w:p>
        </w:tc>
        <w:tc>
          <w:tcPr>
            <w:tcW w:w="1768" w:type="dxa"/>
            <w:tcBorders>
              <w:top w:val="single" w:sz="4" w:space="0" w:color="auto"/>
              <w:left w:val="nil"/>
              <w:bottom w:val="single" w:sz="4" w:space="0" w:color="auto"/>
              <w:right w:val="single" w:sz="4" w:space="0" w:color="000000"/>
            </w:tcBorders>
            <w:vAlign w:val="center"/>
          </w:tcPr>
          <w:p w:rsidR="00773E2C" w:rsidRDefault="00805665">
            <w:pPr>
              <w:jc w:val="center"/>
              <w:rPr>
                <w:sz w:val="20"/>
                <w:szCs w:val="20"/>
                <w:lang w:val="en-US"/>
              </w:rPr>
            </w:pPr>
            <w:r>
              <w:rPr>
                <w:sz w:val="20"/>
                <w:szCs w:val="20"/>
                <w:lang w:val="en-US"/>
              </w:rPr>
              <w:t>-</w:t>
            </w:r>
          </w:p>
        </w:tc>
      </w:tr>
      <w:tr w:rsidR="00773E2C">
        <w:trPr>
          <w:trHeight w:val="506"/>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rPr>
                <w:sz w:val="20"/>
                <w:szCs w:val="20"/>
              </w:rPr>
            </w:pPr>
            <w:r>
              <w:rPr>
                <w:sz w:val="20"/>
                <w:szCs w:val="20"/>
              </w:rPr>
              <w:t>в том числе:</w:t>
            </w:r>
          </w:p>
          <w:p w:rsidR="00773E2C" w:rsidRDefault="00805665">
            <w:pPr>
              <w:rPr>
                <w:sz w:val="20"/>
                <w:szCs w:val="20"/>
              </w:rPr>
            </w:pPr>
            <w:r>
              <w:rPr>
                <w:sz w:val="20"/>
                <w:szCs w:val="20"/>
              </w:rPr>
              <w:t>выплата которых отложена</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768" w:type="dxa"/>
            <w:tcBorders>
              <w:top w:val="single" w:sz="4" w:space="0" w:color="auto"/>
              <w:left w:val="nil"/>
              <w:bottom w:val="single" w:sz="4" w:space="0" w:color="auto"/>
              <w:right w:val="single" w:sz="4" w:space="0" w:color="000000"/>
            </w:tcBorders>
            <w:vAlign w:val="center"/>
          </w:tcPr>
          <w:p w:rsidR="00773E2C" w:rsidRDefault="00805665">
            <w:pPr>
              <w:jc w:val="center"/>
              <w:rPr>
                <w:sz w:val="20"/>
                <w:szCs w:val="20"/>
                <w:lang w:val="en-US"/>
              </w:rPr>
            </w:pPr>
            <w:r>
              <w:rPr>
                <w:sz w:val="20"/>
                <w:szCs w:val="20"/>
                <w:lang w:val="en-US"/>
              </w:rPr>
              <w:t>-</w:t>
            </w:r>
          </w:p>
        </w:tc>
      </w:tr>
      <w:tr w:rsidR="00773E2C">
        <w:trPr>
          <w:trHeight w:val="771"/>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Скорректированные с учетом достигнутых результатов выходные пособия, компенсации и иные выплаты в связи с досрочным прекращением полномочий</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768" w:type="dxa"/>
            <w:tcBorders>
              <w:top w:val="single" w:sz="4" w:space="0" w:color="auto"/>
              <w:left w:val="nil"/>
              <w:bottom w:val="single" w:sz="4" w:space="0" w:color="auto"/>
              <w:right w:val="single" w:sz="4" w:space="0" w:color="000000"/>
            </w:tcBorders>
            <w:vAlign w:val="center"/>
          </w:tcPr>
          <w:p w:rsidR="00773E2C" w:rsidRDefault="00805665">
            <w:pPr>
              <w:jc w:val="center"/>
              <w:rPr>
                <w:sz w:val="20"/>
                <w:szCs w:val="20"/>
                <w:lang w:val="en-US"/>
              </w:rPr>
            </w:pPr>
            <w:r>
              <w:rPr>
                <w:sz w:val="20"/>
                <w:szCs w:val="20"/>
                <w:lang w:val="en-US"/>
              </w:rPr>
              <w:t>-</w:t>
            </w:r>
          </w:p>
        </w:tc>
      </w:tr>
    </w:tbl>
    <w:p w:rsidR="00773E2C" w:rsidRDefault="00805665">
      <w:pPr>
        <w:ind w:firstLine="567"/>
        <w:jc w:val="both"/>
        <w:rPr>
          <w:i/>
          <w:color w:val="000000"/>
          <w:sz w:val="20"/>
          <w:szCs w:val="20"/>
        </w:rPr>
      </w:pPr>
      <w:r>
        <w:rPr>
          <w:i/>
          <w:color w:val="000000"/>
          <w:sz w:val="20"/>
          <w:szCs w:val="20"/>
        </w:rPr>
        <w:t>*</w:t>
      </w:r>
      <w:r>
        <w:rPr>
          <w:i/>
          <w:color w:val="000000"/>
          <w:sz w:val="20"/>
          <w:szCs w:val="20"/>
        </w:rPr>
        <w:tab/>
        <w:t xml:space="preserve"> - вид вознаграждения указан с учетом дисконтирования</w:t>
      </w:r>
    </w:p>
    <w:p w:rsidR="00773E2C" w:rsidRDefault="00805665">
      <w:pPr>
        <w:ind w:firstLine="567"/>
        <w:jc w:val="both"/>
        <w:rPr>
          <w:i/>
          <w:color w:val="000000"/>
          <w:sz w:val="20"/>
          <w:szCs w:val="20"/>
        </w:rPr>
      </w:pPr>
      <w:r>
        <w:rPr>
          <w:i/>
          <w:color w:val="000000"/>
          <w:sz w:val="20"/>
          <w:szCs w:val="20"/>
        </w:rPr>
        <w:t>** - включая период формирования годового отчета</w:t>
      </w:r>
    </w:p>
    <w:p w:rsidR="00773E2C" w:rsidRDefault="00773E2C">
      <w:pPr>
        <w:ind w:firstLine="567"/>
        <w:jc w:val="both"/>
        <w:rPr>
          <w:color w:val="000000"/>
          <w:sz w:val="22"/>
          <w:szCs w:val="22"/>
        </w:rPr>
      </w:pPr>
    </w:p>
    <w:p w:rsidR="00773E2C" w:rsidRDefault="00805665">
      <w:pPr>
        <w:ind w:firstLine="567"/>
        <w:jc w:val="both"/>
        <w:rPr>
          <w:i/>
          <w:color w:val="000000"/>
          <w:sz w:val="22"/>
          <w:szCs w:val="22"/>
          <w:u w:val="single"/>
        </w:rPr>
      </w:pPr>
      <w:r>
        <w:rPr>
          <w:rFonts w:eastAsia="Calibri"/>
          <w:b/>
          <w:sz w:val="22"/>
          <w:szCs w:val="22"/>
          <w:lang w:eastAsia="en-US"/>
        </w:rPr>
        <w:t xml:space="preserve">Таблица 4.12.2 </w:t>
      </w:r>
      <w:r>
        <w:rPr>
          <w:b/>
          <w:color w:val="000000"/>
          <w:sz w:val="22"/>
          <w:szCs w:val="22"/>
        </w:rPr>
        <w:t>Информация о выплатах в 2025 году сотрудникам Банка, являющимися членами Наблюдательного совета, но не входящими в Правление Банка</w:t>
      </w:r>
    </w:p>
    <w:p w:rsidR="00773E2C" w:rsidRDefault="00805665">
      <w:pPr>
        <w:ind w:firstLine="567"/>
        <w:jc w:val="both"/>
        <w:rPr>
          <w:color w:val="000000"/>
          <w:sz w:val="22"/>
          <w:szCs w:val="22"/>
        </w:rPr>
      </w:pPr>
      <w:r>
        <w:rPr>
          <w:color w:val="000000"/>
          <w:sz w:val="22"/>
          <w:szCs w:val="22"/>
        </w:rPr>
        <w:t xml:space="preserve">Примечание: </w:t>
      </w:r>
      <w:proofErr w:type="gramStart"/>
      <w:r>
        <w:rPr>
          <w:color w:val="000000"/>
          <w:sz w:val="22"/>
          <w:szCs w:val="22"/>
        </w:rPr>
        <w:t>В</w:t>
      </w:r>
      <w:proofErr w:type="gramEnd"/>
      <w:r>
        <w:rPr>
          <w:color w:val="000000"/>
          <w:sz w:val="22"/>
          <w:szCs w:val="22"/>
        </w:rPr>
        <w:t xml:space="preserve"> таблице приведено вознаграждение сотрудникам Банка, являющимся членами Наблюдательного совета, но не входящим в Правление, за выполнение своих должностных обязанностей, не связанных с участием в работе Наблюдательного совета.</w:t>
      </w:r>
    </w:p>
    <w:p w:rsidR="00773E2C" w:rsidRDefault="00773E2C">
      <w:pPr>
        <w:ind w:firstLine="567"/>
        <w:jc w:val="both"/>
        <w:rPr>
          <w:color w:val="000000"/>
          <w:sz w:val="22"/>
          <w:szCs w:val="22"/>
        </w:rPr>
      </w:pPr>
    </w:p>
    <w:tbl>
      <w:tblPr>
        <w:tblW w:w="9840" w:type="dxa"/>
        <w:tblInd w:w="93" w:type="dxa"/>
        <w:tblLook w:val="04A0" w:firstRow="1" w:lastRow="0" w:firstColumn="1" w:lastColumn="0" w:noHBand="0" w:noVBand="1"/>
      </w:tblPr>
      <w:tblGrid>
        <w:gridCol w:w="6510"/>
        <w:gridCol w:w="1666"/>
        <w:gridCol w:w="1664"/>
      </w:tblGrid>
      <w:tr w:rsidR="00773E2C">
        <w:trPr>
          <w:trHeight w:val="381"/>
        </w:trPr>
        <w:tc>
          <w:tcPr>
            <w:tcW w:w="6510" w:type="dxa"/>
            <w:tcBorders>
              <w:top w:val="single" w:sz="4" w:space="0" w:color="auto"/>
              <w:left w:val="single" w:sz="4" w:space="0" w:color="auto"/>
              <w:bottom w:val="single" w:sz="4" w:space="0" w:color="auto"/>
              <w:right w:val="single" w:sz="4" w:space="0" w:color="000000"/>
            </w:tcBorders>
            <w:shd w:val="clear" w:color="auto" w:fill="auto"/>
            <w:vAlign w:val="center"/>
          </w:tcPr>
          <w:p w:rsidR="00773E2C" w:rsidRDefault="00805665">
            <w:pPr>
              <w:jc w:val="center"/>
              <w:rPr>
                <w:b/>
                <w:bCs/>
                <w:sz w:val="20"/>
                <w:szCs w:val="20"/>
              </w:rPr>
            </w:pPr>
            <w:r>
              <w:rPr>
                <w:b/>
                <w:bCs/>
                <w:sz w:val="20"/>
                <w:szCs w:val="20"/>
              </w:rPr>
              <w:t>Вид (элемент) вознаграждения</w:t>
            </w:r>
          </w:p>
        </w:tc>
        <w:tc>
          <w:tcPr>
            <w:tcW w:w="1666"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b/>
                <w:bCs/>
                <w:sz w:val="20"/>
                <w:szCs w:val="20"/>
              </w:rPr>
            </w:pPr>
            <w:r>
              <w:rPr>
                <w:b/>
                <w:bCs/>
                <w:sz w:val="20"/>
                <w:szCs w:val="20"/>
              </w:rPr>
              <w:t>Отчетный период,</w:t>
            </w:r>
          </w:p>
          <w:p w:rsidR="00773E2C" w:rsidRDefault="00805665">
            <w:pPr>
              <w:jc w:val="center"/>
              <w:rPr>
                <w:b/>
                <w:bCs/>
                <w:sz w:val="20"/>
                <w:szCs w:val="20"/>
              </w:rPr>
            </w:pPr>
            <w:r>
              <w:rPr>
                <w:b/>
                <w:bCs/>
                <w:sz w:val="20"/>
                <w:szCs w:val="20"/>
              </w:rPr>
              <w:t>руб.</w:t>
            </w:r>
          </w:p>
        </w:tc>
        <w:tc>
          <w:tcPr>
            <w:tcW w:w="1664" w:type="dxa"/>
            <w:tcBorders>
              <w:top w:val="single" w:sz="4" w:space="0" w:color="auto"/>
              <w:left w:val="nil"/>
              <w:bottom w:val="single" w:sz="4" w:space="0" w:color="auto"/>
              <w:right w:val="single" w:sz="4" w:space="0" w:color="000000"/>
            </w:tcBorders>
            <w:vAlign w:val="center"/>
          </w:tcPr>
          <w:p w:rsidR="00773E2C" w:rsidRDefault="00805665">
            <w:pPr>
              <w:jc w:val="center"/>
              <w:rPr>
                <w:b/>
                <w:bCs/>
                <w:sz w:val="20"/>
                <w:szCs w:val="20"/>
              </w:rPr>
            </w:pPr>
            <w:r>
              <w:rPr>
                <w:b/>
                <w:bCs/>
                <w:sz w:val="20"/>
                <w:szCs w:val="20"/>
              </w:rPr>
              <w:t>Предыдущий отчетный период, руб.</w:t>
            </w:r>
          </w:p>
        </w:tc>
      </w:tr>
      <w:tr w:rsidR="00773E2C">
        <w:trPr>
          <w:trHeight w:val="330"/>
        </w:trPr>
        <w:tc>
          <w:tcPr>
            <w:tcW w:w="98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773E2C" w:rsidRDefault="00805665">
            <w:pPr>
              <w:jc w:val="center"/>
              <w:rPr>
                <w:b/>
                <w:bCs/>
                <w:sz w:val="20"/>
                <w:szCs w:val="20"/>
              </w:rPr>
            </w:pPr>
            <w:r>
              <w:rPr>
                <w:b/>
                <w:bCs/>
                <w:sz w:val="20"/>
                <w:szCs w:val="20"/>
              </w:rPr>
              <w:t>Фиксированная часть вознаграждения</w:t>
            </w:r>
          </w:p>
        </w:tc>
      </w:tr>
      <w:tr w:rsidR="00773E2C">
        <w:trPr>
          <w:trHeight w:val="566"/>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Заработная плата сотрудников Банка (должностной оклад, денежное вознаграждение за исполнение должностных обязанностей и т.п.), в том числе работающих по совместительству</w:t>
            </w:r>
          </w:p>
        </w:tc>
        <w:tc>
          <w:tcPr>
            <w:tcW w:w="1666"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70 281 176</w:t>
            </w:r>
          </w:p>
        </w:tc>
        <w:tc>
          <w:tcPr>
            <w:tcW w:w="1664"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rPr>
            </w:pPr>
            <w:r>
              <w:rPr>
                <w:sz w:val="20"/>
                <w:szCs w:val="20"/>
              </w:rPr>
              <w:t>62 516 814</w:t>
            </w:r>
          </w:p>
        </w:tc>
      </w:tr>
      <w:tr w:rsidR="00773E2C">
        <w:trPr>
          <w:trHeight w:val="338"/>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Прочее фиксированное вознаграждение</w:t>
            </w:r>
          </w:p>
        </w:tc>
        <w:tc>
          <w:tcPr>
            <w:tcW w:w="1666"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664"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rPr>
            </w:pPr>
            <w:r>
              <w:rPr>
                <w:sz w:val="20"/>
                <w:szCs w:val="20"/>
              </w:rPr>
              <w:t>-</w:t>
            </w:r>
          </w:p>
        </w:tc>
      </w:tr>
      <w:tr w:rsidR="00773E2C">
        <w:trPr>
          <w:trHeight w:val="315"/>
        </w:trPr>
        <w:tc>
          <w:tcPr>
            <w:tcW w:w="984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773E2C" w:rsidRDefault="00805665">
            <w:pPr>
              <w:jc w:val="center"/>
              <w:rPr>
                <w:b/>
                <w:bCs/>
                <w:sz w:val="20"/>
                <w:szCs w:val="20"/>
              </w:rPr>
            </w:pPr>
            <w:r>
              <w:rPr>
                <w:b/>
                <w:bCs/>
                <w:sz w:val="20"/>
                <w:szCs w:val="20"/>
              </w:rPr>
              <w:t>Итого</w:t>
            </w:r>
          </w:p>
        </w:tc>
      </w:tr>
      <w:tr w:rsidR="00773E2C">
        <w:trPr>
          <w:trHeight w:val="381"/>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Общий размер фиксированной части вознаграждения</w:t>
            </w:r>
          </w:p>
        </w:tc>
        <w:tc>
          <w:tcPr>
            <w:tcW w:w="1666"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70 281 176</w:t>
            </w:r>
          </w:p>
        </w:tc>
        <w:tc>
          <w:tcPr>
            <w:tcW w:w="1664"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rPr>
            </w:pPr>
            <w:r>
              <w:rPr>
                <w:sz w:val="20"/>
                <w:szCs w:val="20"/>
              </w:rPr>
              <w:t>62 516 814</w:t>
            </w:r>
          </w:p>
        </w:tc>
      </w:tr>
      <w:tr w:rsidR="00773E2C">
        <w:trPr>
          <w:trHeight w:val="330"/>
        </w:trPr>
        <w:tc>
          <w:tcPr>
            <w:tcW w:w="98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773E2C" w:rsidRDefault="00805665">
            <w:pPr>
              <w:jc w:val="center"/>
              <w:rPr>
                <w:b/>
                <w:bCs/>
                <w:sz w:val="20"/>
                <w:szCs w:val="20"/>
              </w:rPr>
            </w:pPr>
            <w:r>
              <w:rPr>
                <w:b/>
                <w:bCs/>
                <w:sz w:val="20"/>
                <w:szCs w:val="20"/>
              </w:rPr>
              <w:t>Переменная часть вознаграждения</w:t>
            </w:r>
          </w:p>
        </w:tc>
      </w:tr>
      <w:tr w:rsidR="00773E2C">
        <w:trPr>
          <w:trHeight w:val="315"/>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Начисленные премии (бонусы)</w:t>
            </w:r>
          </w:p>
        </w:tc>
        <w:tc>
          <w:tcPr>
            <w:tcW w:w="1666" w:type="dxa"/>
            <w:tcBorders>
              <w:top w:val="single" w:sz="4" w:space="0" w:color="auto"/>
              <w:left w:val="nil"/>
              <w:bottom w:val="single" w:sz="4" w:space="0" w:color="auto"/>
              <w:right w:val="single" w:sz="4" w:space="0" w:color="000000"/>
            </w:tcBorders>
            <w:shd w:val="clear" w:color="auto" w:fill="auto"/>
            <w:noWrap/>
            <w:vAlign w:val="bottom"/>
          </w:tcPr>
          <w:p w:rsidR="00773E2C" w:rsidRDefault="00805665">
            <w:pPr>
              <w:jc w:val="center"/>
              <w:rPr>
                <w:sz w:val="20"/>
                <w:szCs w:val="20"/>
              </w:rPr>
            </w:pPr>
            <w:r>
              <w:rPr>
                <w:sz w:val="20"/>
                <w:szCs w:val="20"/>
              </w:rPr>
              <w:t>-</w:t>
            </w:r>
          </w:p>
        </w:tc>
        <w:tc>
          <w:tcPr>
            <w:tcW w:w="1664" w:type="dxa"/>
            <w:tcBorders>
              <w:top w:val="single" w:sz="4" w:space="0" w:color="auto"/>
              <w:left w:val="nil"/>
              <w:bottom w:val="single" w:sz="4" w:space="0" w:color="auto"/>
              <w:right w:val="single" w:sz="4" w:space="0" w:color="000000"/>
            </w:tcBorders>
            <w:shd w:val="clear" w:color="auto" w:fill="auto"/>
          </w:tcPr>
          <w:p w:rsidR="00773E2C" w:rsidRDefault="00805665">
            <w:pPr>
              <w:jc w:val="center"/>
              <w:rPr>
                <w:sz w:val="20"/>
                <w:szCs w:val="20"/>
              </w:rPr>
            </w:pPr>
            <w:r>
              <w:rPr>
                <w:sz w:val="20"/>
                <w:szCs w:val="20"/>
              </w:rPr>
              <w:t>-</w:t>
            </w:r>
          </w:p>
        </w:tc>
      </w:tr>
      <w:tr w:rsidR="00773E2C">
        <w:trPr>
          <w:trHeight w:val="465"/>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rPr>
                <w:sz w:val="20"/>
                <w:szCs w:val="20"/>
              </w:rPr>
            </w:pPr>
            <w:r>
              <w:rPr>
                <w:sz w:val="20"/>
                <w:szCs w:val="20"/>
              </w:rPr>
              <w:t>в том числе:</w:t>
            </w:r>
          </w:p>
          <w:p w:rsidR="00773E2C" w:rsidRDefault="00805665">
            <w:pPr>
              <w:rPr>
                <w:sz w:val="20"/>
                <w:szCs w:val="20"/>
              </w:rPr>
            </w:pPr>
            <w:r>
              <w:rPr>
                <w:sz w:val="20"/>
                <w:szCs w:val="20"/>
              </w:rPr>
              <w:t>в рамках программы краткосрочной мотивации</w:t>
            </w:r>
          </w:p>
        </w:tc>
        <w:tc>
          <w:tcPr>
            <w:tcW w:w="1666"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403 000 000</w:t>
            </w:r>
          </w:p>
        </w:tc>
        <w:tc>
          <w:tcPr>
            <w:tcW w:w="1664"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rPr>
            </w:pPr>
            <w:r>
              <w:rPr>
                <w:sz w:val="20"/>
                <w:szCs w:val="20"/>
              </w:rPr>
              <w:t>403 000 000</w:t>
            </w:r>
          </w:p>
        </w:tc>
      </w:tr>
      <w:tr w:rsidR="00773E2C">
        <w:trPr>
          <w:trHeight w:val="202"/>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в рамках программы долгосрочной мотивации*</w:t>
            </w:r>
          </w:p>
        </w:tc>
        <w:tc>
          <w:tcPr>
            <w:tcW w:w="1666"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664"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rPr>
            </w:pPr>
            <w:r>
              <w:rPr>
                <w:sz w:val="20"/>
                <w:szCs w:val="20"/>
              </w:rPr>
              <w:t>-</w:t>
            </w:r>
          </w:p>
        </w:tc>
      </w:tr>
      <w:tr w:rsidR="00773E2C">
        <w:trPr>
          <w:trHeight w:val="338"/>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Общий размер корректировки переменной части отложенного вознаграждения предыдущих периодов с учетом достигнутых результатов и по прочим основаниям **</w:t>
            </w:r>
          </w:p>
        </w:tc>
        <w:tc>
          <w:tcPr>
            <w:tcW w:w="1666"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664"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rPr>
            </w:pPr>
            <w:r>
              <w:rPr>
                <w:sz w:val="20"/>
                <w:szCs w:val="20"/>
              </w:rPr>
              <w:t>-</w:t>
            </w:r>
          </w:p>
        </w:tc>
      </w:tr>
      <w:tr w:rsidR="00773E2C">
        <w:trPr>
          <w:trHeight w:val="325"/>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Начисленное вознаграждение, выплачиваемое на основе акций</w:t>
            </w:r>
          </w:p>
        </w:tc>
        <w:tc>
          <w:tcPr>
            <w:tcW w:w="1666"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664" w:type="dxa"/>
            <w:tcBorders>
              <w:top w:val="single" w:sz="4" w:space="0" w:color="auto"/>
              <w:left w:val="nil"/>
              <w:bottom w:val="single" w:sz="4" w:space="0" w:color="auto"/>
              <w:right w:val="single" w:sz="4" w:space="0" w:color="000000"/>
            </w:tcBorders>
            <w:vAlign w:val="center"/>
          </w:tcPr>
          <w:p w:rsidR="00773E2C" w:rsidRDefault="00805665">
            <w:pPr>
              <w:jc w:val="center"/>
              <w:rPr>
                <w:sz w:val="20"/>
                <w:szCs w:val="20"/>
              </w:rPr>
            </w:pPr>
            <w:r>
              <w:rPr>
                <w:sz w:val="20"/>
                <w:szCs w:val="20"/>
              </w:rPr>
              <w:t>-</w:t>
            </w:r>
          </w:p>
        </w:tc>
      </w:tr>
      <w:tr w:rsidR="00773E2C">
        <w:trPr>
          <w:trHeight w:val="366"/>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rPr>
                <w:sz w:val="20"/>
                <w:szCs w:val="20"/>
              </w:rPr>
            </w:pPr>
            <w:r>
              <w:rPr>
                <w:sz w:val="20"/>
                <w:szCs w:val="20"/>
              </w:rPr>
              <w:t>в том числе:</w:t>
            </w:r>
          </w:p>
          <w:p w:rsidR="00773E2C" w:rsidRDefault="00805665">
            <w:pPr>
              <w:rPr>
                <w:sz w:val="20"/>
                <w:szCs w:val="20"/>
              </w:rPr>
            </w:pPr>
            <w:r>
              <w:rPr>
                <w:sz w:val="20"/>
                <w:szCs w:val="20"/>
              </w:rPr>
              <w:t>в рамках программы краткосрочной мотивации</w:t>
            </w:r>
          </w:p>
        </w:tc>
        <w:tc>
          <w:tcPr>
            <w:tcW w:w="1666"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664" w:type="dxa"/>
            <w:tcBorders>
              <w:top w:val="single" w:sz="4" w:space="0" w:color="auto"/>
              <w:left w:val="nil"/>
              <w:bottom w:val="single" w:sz="4" w:space="0" w:color="auto"/>
              <w:right w:val="single" w:sz="4" w:space="0" w:color="000000"/>
            </w:tcBorders>
            <w:vAlign w:val="center"/>
          </w:tcPr>
          <w:p w:rsidR="00773E2C" w:rsidRDefault="00805665">
            <w:pPr>
              <w:jc w:val="center"/>
              <w:rPr>
                <w:sz w:val="20"/>
                <w:szCs w:val="20"/>
              </w:rPr>
            </w:pPr>
            <w:r>
              <w:rPr>
                <w:sz w:val="20"/>
                <w:szCs w:val="20"/>
              </w:rPr>
              <w:t>-</w:t>
            </w:r>
          </w:p>
        </w:tc>
      </w:tr>
      <w:tr w:rsidR="00773E2C">
        <w:trPr>
          <w:trHeight w:val="296"/>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в рамках программы долгосрочной мотивации</w:t>
            </w:r>
          </w:p>
        </w:tc>
        <w:tc>
          <w:tcPr>
            <w:tcW w:w="1666"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664" w:type="dxa"/>
            <w:tcBorders>
              <w:top w:val="single" w:sz="4" w:space="0" w:color="auto"/>
              <w:left w:val="nil"/>
              <w:bottom w:val="single" w:sz="4" w:space="0" w:color="auto"/>
              <w:right w:val="single" w:sz="4" w:space="0" w:color="000000"/>
            </w:tcBorders>
            <w:vAlign w:val="center"/>
          </w:tcPr>
          <w:p w:rsidR="00773E2C" w:rsidRDefault="00805665">
            <w:pPr>
              <w:jc w:val="center"/>
              <w:rPr>
                <w:sz w:val="20"/>
                <w:szCs w:val="20"/>
              </w:rPr>
            </w:pPr>
            <w:r>
              <w:rPr>
                <w:sz w:val="20"/>
                <w:szCs w:val="20"/>
              </w:rPr>
              <w:t>-</w:t>
            </w:r>
          </w:p>
        </w:tc>
      </w:tr>
      <w:tr w:rsidR="00773E2C">
        <w:trPr>
          <w:trHeight w:val="464"/>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Скорректированное с учетом достигнутых результатов вознаграждение, выплачиваемое на основе акций</w:t>
            </w:r>
          </w:p>
        </w:tc>
        <w:tc>
          <w:tcPr>
            <w:tcW w:w="1666"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664" w:type="dxa"/>
            <w:tcBorders>
              <w:top w:val="single" w:sz="4" w:space="0" w:color="auto"/>
              <w:left w:val="nil"/>
              <w:bottom w:val="single" w:sz="4" w:space="0" w:color="auto"/>
              <w:right w:val="single" w:sz="4" w:space="0" w:color="000000"/>
            </w:tcBorders>
            <w:vAlign w:val="center"/>
          </w:tcPr>
          <w:p w:rsidR="00773E2C" w:rsidRDefault="00805665">
            <w:pPr>
              <w:jc w:val="center"/>
              <w:rPr>
                <w:sz w:val="20"/>
                <w:szCs w:val="20"/>
              </w:rPr>
            </w:pPr>
            <w:r>
              <w:rPr>
                <w:sz w:val="20"/>
                <w:szCs w:val="20"/>
              </w:rPr>
              <w:t>-</w:t>
            </w:r>
          </w:p>
        </w:tc>
      </w:tr>
      <w:tr w:rsidR="00773E2C">
        <w:trPr>
          <w:trHeight w:val="772"/>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Переменное вознаграждение за работу в органах управления или на руководящих должностях в других организациях, входящих в группу общества</w:t>
            </w:r>
          </w:p>
        </w:tc>
        <w:tc>
          <w:tcPr>
            <w:tcW w:w="1666"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664" w:type="dxa"/>
            <w:tcBorders>
              <w:top w:val="single" w:sz="4" w:space="0" w:color="auto"/>
              <w:left w:val="nil"/>
              <w:bottom w:val="single" w:sz="4" w:space="0" w:color="auto"/>
              <w:right w:val="single" w:sz="4" w:space="0" w:color="000000"/>
            </w:tcBorders>
            <w:vAlign w:val="center"/>
          </w:tcPr>
          <w:p w:rsidR="00773E2C" w:rsidRDefault="00805665">
            <w:pPr>
              <w:jc w:val="center"/>
              <w:rPr>
                <w:sz w:val="20"/>
                <w:szCs w:val="20"/>
              </w:rPr>
            </w:pPr>
            <w:r>
              <w:rPr>
                <w:sz w:val="20"/>
                <w:szCs w:val="20"/>
              </w:rPr>
              <w:t>-</w:t>
            </w:r>
          </w:p>
        </w:tc>
      </w:tr>
      <w:tr w:rsidR="00773E2C">
        <w:trPr>
          <w:trHeight w:val="450"/>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rPr>
                <w:sz w:val="20"/>
                <w:szCs w:val="20"/>
              </w:rPr>
            </w:pPr>
            <w:r>
              <w:rPr>
                <w:sz w:val="20"/>
                <w:szCs w:val="20"/>
              </w:rPr>
              <w:t>в том числе:</w:t>
            </w:r>
          </w:p>
          <w:p w:rsidR="00773E2C" w:rsidRDefault="00805665">
            <w:pPr>
              <w:rPr>
                <w:sz w:val="20"/>
                <w:szCs w:val="20"/>
              </w:rPr>
            </w:pPr>
            <w:r>
              <w:rPr>
                <w:sz w:val="20"/>
                <w:szCs w:val="20"/>
              </w:rPr>
              <w:t>в рамках программы краткосрочной мотивации</w:t>
            </w:r>
          </w:p>
        </w:tc>
        <w:tc>
          <w:tcPr>
            <w:tcW w:w="1666"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664" w:type="dxa"/>
            <w:tcBorders>
              <w:top w:val="single" w:sz="4" w:space="0" w:color="auto"/>
              <w:left w:val="nil"/>
              <w:bottom w:val="single" w:sz="4" w:space="0" w:color="auto"/>
              <w:right w:val="single" w:sz="4" w:space="0" w:color="000000"/>
            </w:tcBorders>
            <w:vAlign w:val="center"/>
          </w:tcPr>
          <w:p w:rsidR="00773E2C" w:rsidRDefault="00805665">
            <w:pPr>
              <w:jc w:val="center"/>
              <w:rPr>
                <w:sz w:val="20"/>
                <w:szCs w:val="20"/>
              </w:rPr>
            </w:pPr>
            <w:r>
              <w:rPr>
                <w:sz w:val="20"/>
                <w:szCs w:val="20"/>
              </w:rPr>
              <w:t>-</w:t>
            </w:r>
          </w:p>
        </w:tc>
      </w:tr>
      <w:tr w:rsidR="00773E2C">
        <w:trPr>
          <w:trHeight w:val="296"/>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в рамках программы долгосрочной мотивации</w:t>
            </w:r>
          </w:p>
        </w:tc>
        <w:tc>
          <w:tcPr>
            <w:tcW w:w="1666"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664" w:type="dxa"/>
            <w:tcBorders>
              <w:top w:val="single" w:sz="4" w:space="0" w:color="auto"/>
              <w:left w:val="nil"/>
              <w:bottom w:val="single" w:sz="4" w:space="0" w:color="auto"/>
              <w:right w:val="single" w:sz="4" w:space="0" w:color="000000"/>
            </w:tcBorders>
            <w:vAlign w:val="center"/>
          </w:tcPr>
          <w:p w:rsidR="00773E2C" w:rsidRDefault="00805665">
            <w:pPr>
              <w:jc w:val="center"/>
              <w:rPr>
                <w:sz w:val="20"/>
                <w:szCs w:val="20"/>
              </w:rPr>
            </w:pPr>
            <w:r>
              <w:rPr>
                <w:sz w:val="20"/>
                <w:szCs w:val="20"/>
              </w:rPr>
              <w:t>-</w:t>
            </w:r>
          </w:p>
        </w:tc>
      </w:tr>
      <w:tr w:rsidR="00773E2C">
        <w:trPr>
          <w:trHeight w:val="696"/>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Скорректированное с учетом достигнутых результатов переменное вознаграждение за работу в органах управления или на руководящих должностях в других организациях, входящих в группу общества</w:t>
            </w:r>
          </w:p>
        </w:tc>
        <w:tc>
          <w:tcPr>
            <w:tcW w:w="1666"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664" w:type="dxa"/>
            <w:tcBorders>
              <w:top w:val="single" w:sz="4" w:space="0" w:color="auto"/>
              <w:left w:val="nil"/>
              <w:bottom w:val="single" w:sz="4" w:space="0" w:color="auto"/>
              <w:right w:val="single" w:sz="4" w:space="0" w:color="000000"/>
            </w:tcBorders>
            <w:vAlign w:val="center"/>
          </w:tcPr>
          <w:p w:rsidR="00773E2C" w:rsidRDefault="00805665">
            <w:pPr>
              <w:jc w:val="center"/>
              <w:rPr>
                <w:sz w:val="20"/>
                <w:szCs w:val="20"/>
              </w:rPr>
            </w:pPr>
            <w:r>
              <w:rPr>
                <w:sz w:val="20"/>
                <w:szCs w:val="20"/>
              </w:rPr>
              <w:t>-</w:t>
            </w:r>
          </w:p>
        </w:tc>
      </w:tr>
      <w:tr w:rsidR="00773E2C">
        <w:trPr>
          <w:trHeight w:val="315"/>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Прочее переменное вознаграждение</w:t>
            </w:r>
          </w:p>
        </w:tc>
        <w:tc>
          <w:tcPr>
            <w:tcW w:w="1666"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664" w:type="dxa"/>
            <w:tcBorders>
              <w:top w:val="single" w:sz="4" w:space="0" w:color="auto"/>
              <w:left w:val="nil"/>
              <w:bottom w:val="single" w:sz="4" w:space="0" w:color="auto"/>
              <w:right w:val="single" w:sz="4" w:space="0" w:color="000000"/>
            </w:tcBorders>
            <w:vAlign w:val="center"/>
          </w:tcPr>
          <w:p w:rsidR="00773E2C" w:rsidRDefault="00805665">
            <w:pPr>
              <w:jc w:val="center"/>
              <w:rPr>
                <w:sz w:val="20"/>
                <w:szCs w:val="20"/>
              </w:rPr>
            </w:pPr>
            <w:r>
              <w:rPr>
                <w:sz w:val="20"/>
                <w:szCs w:val="20"/>
              </w:rPr>
              <w:t>-</w:t>
            </w:r>
          </w:p>
        </w:tc>
      </w:tr>
      <w:tr w:rsidR="00773E2C">
        <w:trPr>
          <w:trHeight w:val="501"/>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Возвращенные суммы, выплаченные в качестве переменной части вознаграждения</w:t>
            </w:r>
          </w:p>
        </w:tc>
        <w:tc>
          <w:tcPr>
            <w:tcW w:w="1666"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664" w:type="dxa"/>
            <w:tcBorders>
              <w:top w:val="single" w:sz="4" w:space="0" w:color="auto"/>
              <w:left w:val="nil"/>
              <w:bottom w:val="single" w:sz="4" w:space="0" w:color="auto"/>
              <w:right w:val="single" w:sz="4" w:space="0" w:color="000000"/>
            </w:tcBorders>
            <w:vAlign w:val="center"/>
          </w:tcPr>
          <w:p w:rsidR="00773E2C" w:rsidRDefault="00805665">
            <w:pPr>
              <w:jc w:val="center"/>
              <w:rPr>
                <w:sz w:val="20"/>
                <w:szCs w:val="20"/>
              </w:rPr>
            </w:pPr>
            <w:r>
              <w:rPr>
                <w:sz w:val="20"/>
                <w:szCs w:val="20"/>
              </w:rPr>
              <w:t>-</w:t>
            </w:r>
          </w:p>
        </w:tc>
      </w:tr>
      <w:tr w:rsidR="00773E2C">
        <w:trPr>
          <w:trHeight w:val="315"/>
        </w:trPr>
        <w:tc>
          <w:tcPr>
            <w:tcW w:w="98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773E2C" w:rsidRDefault="00805665">
            <w:pPr>
              <w:jc w:val="center"/>
              <w:rPr>
                <w:b/>
                <w:bCs/>
                <w:sz w:val="20"/>
                <w:szCs w:val="20"/>
              </w:rPr>
            </w:pPr>
            <w:r>
              <w:rPr>
                <w:b/>
                <w:bCs/>
                <w:sz w:val="20"/>
                <w:szCs w:val="20"/>
              </w:rPr>
              <w:t>Итого</w:t>
            </w:r>
          </w:p>
        </w:tc>
      </w:tr>
      <w:tr w:rsidR="00773E2C">
        <w:trPr>
          <w:trHeight w:val="325"/>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lastRenderedPageBreak/>
              <w:t>Общий начисленный размер переменной части вознаграждения*</w:t>
            </w:r>
          </w:p>
        </w:tc>
        <w:tc>
          <w:tcPr>
            <w:tcW w:w="1666"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403 000 000</w:t>
            </w:r>
          </w:p>
        </w:tc>
        <w:tc>
          <w:tcPr>
            <w:tcW w:w="1664"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rPr>
            </w:pPr>
            <w:r>
              <w:rPr>
                <w:sz w:val="20"/>
                <w:szCs w:val="20"/>
              </w:rPr>
              <w:t>403 000 000</w:t>
            </w:r>
          </w:p>
        </w:tc>
      </w:tr>
      <w:tr w:rsidR="00773E2C">
        <w:trPr>
          <w:trHeight w:val="538"/>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Общий размер корректировки переменной части отложенного вознаграждения предыдущих периодов с учетом достигнутых результатов и по прочим основаниям **</w:t>
            </w:r>
          </w:p>
        </w:tc>
        <w:tc>
          <w:tcPr>
            <w:tcW w:w="1666"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664"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rPr>
            </w:pPr>
            <w:r>
              <w:rPr>
                <w:sz w:val="20"/>
                <w:szCs w:val="20"/>
              </w:rPr>
              <w:t>-</w:t>
            </w:r>
          </w:p>
        </w:tc>
      </w:tr>
      <w:tr w:rsidR="00773E2C">
        <w:trPr>
          <w:trHeight w:val="479"/>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Общий скорректированный размер переменной части вознаграждения к выплате</w:t>
            </w:r>
          </w:p>
        </w:tc>
        <w:tc>
          <w:tcPr>
            <w:tcW w:w="1666"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403 000 000</w:t>
            </w:r>
          </w:p>
        </w:tc>
        <w:tc>
          <w:tcPr>
            <w:tcW w:w="1664"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rPr>
            </w:pPr>
            <w:r>
              <w:rPr>
                <w:sz w:val="20"/>
                <w:szCs w:val="20"/>
              </w:rPr>
              <w:t>403 000 000</w:t>
            </w:r>
          </w:p>
        </w:tc>
      </w:tr>
      <w:tr w:rsidR="00773E2C">
        <w:trPr>
          <w:trHeight w:val="535"/>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rPr>
                <w:sz w:val="20"/>
                <w:szCs w:val="20"/>
              </w:rPr>
            </w:pPr>
            <w:r>
              <w:rPr>
                <w:sz w:val="20"/>
                <w:szCs w:val="20"/>
              </w:rPr>
              <w:t>в том числе:</w:t>
            </w:r>
          </w:p>
          <w:p w:rsidR="00773E2C" w:rsidRDefault="00805665">
            <w:pPr>
              <w:rPr>
                <w:sz w:val="20"/>
                <w:szCs w:val="20"/>
              </w:rPr>
            </w:pPr>
            <w:r>
              <w:rPr>
                <w:sz w:val="20"/>
                <w:szCs w:val="20"/>
              </w:rPr>
              <w:t>выплаченная переменная часть вознаграждения**</w:t>
            </w:r>
          </w:p>
        </w:tc>
        <w:tc>
          <w:tcPr>
            <w:tcW w:w="1666"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403 000 000</w:t>
            </w:r>
          </w:p>
        </w:tc>
        <w:tc>
          <w:tcPr>
            <w:tcW w:w="1664"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rPr>
            </w:pPr>
            <w:r>
              <w:rPr>
                <w:sz w:val="20"/>
                <w:szCs w:val="20"/>
              </w:rPr>
              <w:t>403 000 000</w:t>
            </w:r>
          </w:p>
        </w:tc>
      </w:tr>
      <w:tr w:rsidR="00773E2C">
        <w:trPr>
          <w:trHeight w:val="271"/>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выплаченная переменная часть отложенного вознаграждения предыдущих периодов, скорректированная с учетом достигнутых результатов и по прочим основаниям **</w:t>
            </w:r>
          </w:p>
        </w:tc>
        <w:tc>
          <w:tcPr>
            <w:tcW w:w="1666"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664"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rPr>
            </w:pPr>
            <w:r>
              <w:rPr>
                <w:sz w:val="20"/>
                <w:szCs w:val="20"/>
              </w:rPr>
              <w:t>-</w:t>
            </w:r>
          </w:p>
        </w:tc>
      </w:tr>
      <w:tr w:rsidR="00773E2C">
        <w:trPr>
          <w:trHeight w:val="271"/>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переменная часть вознаграждения (в том числе за предыдущие периоды), выплата которого отложена *</w:t>
            </w:r>
          </w:p>
        </w:tc>
        <w:tc>
          <w:tcPr>
            <w:tcW w:w="1666"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664"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rPr>
            </w:pPr>
            <w:r>
              <w:rPr>
                <w:sz w:val="20"/>
                <w:szCs w:val="20"/>
              </w:rPr>
              <w:t>-</w:t>
            </w:r>
          </w:p>
        </w:tc>
      </w:tr>
      <w:tr w:rsidR="00773E2C">
        <w:trPr>
          <w:trHeight w:val="630"/>
        </w:trPr>
        <w:tc>
          <w:tcPr>
            <w:tcW w:w="98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73E2C" w:rsidRDefault="00805665">
            <w:pPr>
              <w:jc w:val="center"/>
              <w:rPr>
                <w:b/>
                <w:bCs/>
                <w:sz w:val="20"/>
                <w:szCs w:val="20"/>
              </w:rPr>
            </w:pPr>
            <w:r>
              <w:rPr>
                <w:b/>
                <w:bCs/>
                <w:sz w:val="20"/>
                <w:szCs w:val="20"/>
              </w:rPr>
              <w:t>Выходные пособия, компенсации и иные выплаты в связи с досрочным прекращением полномочий («золотые парашюты»)</w:t>
            </w:r>
          </w:p>
        </w:tc>
      </w:tr>
      <w:tr w:rsidR="00773E2C">
        <w:trPr>
          <w:trHeight w:val="435"/>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Начисленные выходные пособия, компенсации и иные выплаты в связи с досрочным прекращением полномочий</w:t>
            </w:r>
          </w:p>
        </w:tc>
        <w:tc>
          <w:tcPr>
            <w:tcW w:w="1666"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664"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rPr>
            </w:pPr>
            <w:r>
              <w:rPr>
                <w:sz w:val="20"/>
                <w:szCs w:val="20"/>
              </w:rPr>
              <w:t>-</w:t>
            </w:r>
          </w:p>
        </w:tc>
      </w:tr>
      <w:tr w:rsidR="00773E2C">
        <w:trPr>
          <w:trHeight w:val="506"/>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rPr>
                <w:sz w:val="20"/>
                <w:szCs w:val="20"/>
              </w:rPr>
            </w:pPr>
            <w:r>
              <w:rPr>
                <w:sz w:val="20"/>
                <w:szCs w:val="20"/>
              </w:rPr>
              <w:t>в том числе:</w:t>
            </w:r>
          </w:p>
          <w:p w:rsidR="00773E2C" w:rsidRDefault="00805665">
            <w:pPr>
              <w:rPr>
                <w:sz w:val="20"/>
                <w:szCs w:val="20"/>
              </w:rPr>
            </w:pPr>
            <w:r>
              <w:rPr>
                <w:sz w:val="20"/>
                <w:szCs w:val="20"/>
              </w:rPr>
              <w:t>выплата которых отложена</w:t>
            </w:r>
          </w:p>
        </w:tc>
        <w:tc>
          <w:tcPr>
            <w:tcW w:w="1666"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664"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rPr>
            </w:pPr>
            <w:r>
              <w:rPr>
                <w:sz w:val="20"/>
                <w:szCs w:val="20"/>
              </w:rPr>
              <w:t>-</w:t>
            </w:r>
          </w:p>
        </w:tc>
      </w:tr>
      <w:tr w:rsidR="00773E2C">
        <w:trPr>
          <w:trHeight w:val="771"/>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Скорректированные с учетом достигнутых результатов выходные пособия, компенсации и иные выплаты в связи с досрочным прекращением полномочий</w:t>
            </w:r>
          </w:p>
        </w:tc>
        <w:tc>
          <w:tcPr>
            <w:tcW w:w="1666"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664"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rPr>
            </w:pPr>
            <w:r>
              <w:rPr>
                <w:sz w:val="20"/>
                <w:szCs w:val="20"/>
              </w:rPr>
              <w:t>-</w:t>
            </w:r>
          </w:p>
        </w:tc>
      </w:tr>
    </w:tbl>
    <w:p w:rsidR="00773E2C" w:rsidRDefault="00805665">
      <w:pPr>
        <w:ind w:firstLine="567"/>
        <w:jc w:val="both"/>
        <w:rPr>
          <w:i/>
          <w:color w:val="000000"/>
          <w:sz w:val="20"/>
          <w:szCs w:val="20"/>
        </w:rPr>
      </w:pPr>
      <w:r>
        <w:rPr>
          <w:i/>
          <w:color w:val="000000"/>
          <w:sz w:val="20"/>
          <w:szCs w:val="20"/>
        </w:rPr>
        <w:t>*</w:t>
      </w:r>
      <w:r>
        <w:rPr>
          <w:i/>
          <w:color w:val="000000"/>
          <w:sz w:val="20"/>
          <w:szCs w:val="20"/>
        </w:rPr>
        <w:tab/>
        <w:t>- вид вознаграждения указан с учетом дисконтирования</w:t>
      </w:r>
    </w:p>
    <w:p w:rsidR="00773E2C" w:rsidRDefault="00805665">
      <w:pPr>
        <w:ind w:firstLine="567"/>
        <w:jc w:val="both"/>
        <w:rPr>
          <w:i/>
          <w:color w:val="000000"/>
          <w:sz w:val="20"/>
          <w:szCs w:val="20"/>
        </w:rPr>
      </w:pPr>
      <w:r>
        <w:rPr>
          <w:i/>
          <w:color w:val="000000"/>
          <w:sz w:val="20"/>
          <w:szCs w:val="20"/>
        </w:rPr>
        <w:t>** - включая период формирования годового отчета</w:t>
      </w:r>
    </w:p>
    <w:p w:rsidR="00773E2C" w:rsidRDefault="00773E2C">
      <w:pPr>
        <w:ind w:firstLine="567"/>
        <w:jc w:val="both"/>
        <w:rPr>
          <w:i/>
          <w:color w:val="000000"/>
          <w:sz w:val="20"/>
          <w:szCs w:val="20"/>
        </w:rPr>
      </w:pPr>
    </w:p>
    <w:p w:rsidR="00773E2C" w:rsidRDefault="00805665">
      <w:pPr>
        <w:ind w:firstLine="567"/>
        <w:jc w:val="both"/>
        <w:rPr>
          <w:i/>
          <w:color w:val="000000"/>
          <w:sz w:val="22"/>
          <w:szCs w:val="22"/>
          <w:u w:val="single"/>
        </w:rPr>
      </w:pPr>
      <w:r>
        <w:rPr>
          <w:rFonts w:eastAsia="Calibri"/>
          <w:b/>
          <w:sz w:val="22"/>
          <w:szCs w:val="22"/>
          <w:lang w:eastAsia="en-US"/>
        </w:rPr>
        <w:t xml:space="preserve">Таблица 4.12.3 </w:t>
      </w:r>
      <w:r>
        <w:rPr>
          <w:b/>
          <w:color w:val="000000"/>
          <w:sz w:val="22"/>
          <w:szCs w:val="22"/>
        </w:rPr>
        <w:t>Информация о выплатах иным ключевым менеджерам Банка в 2025 году</w:t>
      </w:r>
      <w:r>
        <w:rPr>
          <w:i/>
          <w:color w:val="000000"/>
          <w:sz w:val="22"/>
          <w:szCs w:val="22"/>
          <w:u w:val="single"/>
        </w:rPr>
        <w:t xml:space="preserve"> </w:t>
      </w:r>
    </w:p>
    <w:p w:rsidR="00773E2C" w:rsidRDefault="00773E2C">
      <w:pPr>
        <w:ind w:firstLine="567"/>
        <w:jc w:val="both"/>
        <w:rPr>
          <w:color w:val="000000"/>
          <w:sz w:val="22"/>
          <w:szCs w:val="22"/>
        </w:rPr>
      </w:pPr>
    </w:p>
    <w:tbl>
      <w:tblPr>
        <w:tblW w:w="9930" w:type="dxa"/>
        <w:tblInd w:w="93" w:type="dxa"/>
        <w:tblLook w:val="04A0" w:firstRow="1" w:lastRow="0" w:firstColumn="1" w:lastColumn="0" w:noHBand="0" w:noVBand="1"/>
      </w:tblPr>
      <w:tblGrid>
        <w:gridCol w:w="6510"/>
        <w:gridCol w:w="1652"/>
        <w:gridCol w:w="1768"/>
      </w:tblGrid>
      <w:tr w:rsidR="00773E2C">
        <w:trPr>
          <w:trHeight w:val="381"/>
        </w:trPr>
        <w:tc>
          <w:tcPr>
            <w:tcW w:w="6510" w:type="dxa"/>
            <w:tcBorders>
              <w:top w:val="single" w:sz="4" w:space="0" w:color="auto"/>
              <w:left w:val="single" w:sz="4" w:space="0" w:color="auto"/>
              <w:bottom w:val="single" w:sz="4" w:space="0" w:color="auto"/>
              <w:right w:val="single" w:sz="4" w:space="0" w:color="000000"/>
            </w:tcBorders>
            <w:shd w:val="clear" w:color="auto" w:fill="auto"/>
            <w:vAlign w:val="center"/>
          </w:tcPr>
          <w:p w:rsidR="00773E2C" w:rsidRDefault="00805665">
            <w:pPr>
              <w:jc w:val="center"/>
              <w:rPr>
                <w:b/>
                <w:bCs/>
                <w:sz w:val="20"/>
                <w:szCs w:val="20"/>
              </w:rPr>
            </w:pPr>
            <w:r>
              <w:rPr>
                <w:b/>
                <w:bCs/>
                <w:sz w:val="20"/>
                <w:szCs w:val="20"/>
              </w:rPr>
              <w:t>Вид (элемент) вознаграждения</w:t>
            </w:r>
          </w:p>
        </w:tc>
        <w:tc>
          <w:tcPr>
            <w:tcW w:w="1652"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b/>
                <w:bCs/>
                <w:sz w:val="20"/>
                <w:szCs w:val="20"/>
              </w:rPr>
            </w:pPr>
            <w:r>
              <w:rPr>
                <w:b/>
                <w:bCs/>
                <w:sz w:val="20"/>
                <w:szCs w:val="20"/>
              </w:rPr>
              <w:t>Отчетный период,</w:t>
            </w:r>
          </w:p>
          <w:p w:rsidR="00773E2C" w:rsidRDefault="00805665">
            <w:pPr>
              <w:jc w:val="center"/>
              <w:rPr>
                <w:b/>
                <w:bCs/>
                <w:sz w:val="20"/>
                <w:szCs w:val="20"/>
              </w:rPr>
            </w:pPr>
            <w:r>
              <w:rPr>
                <w:b/>
                <w:bCs/>
                <w:sz w:val="20"/>
                <w:szCs w:val="20"/>
              </w:rPr>
              <w:t>руб.</w:t>
            </w:r>
          </w:p>
        </w:tc>
        <w:tc>
          <w:tcPr>
            <w:tcW w:w="1768"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b/>
                <w:bCs/>
                <w:sz w:val="20"/>
                <w:szCs w:val="20"/>
              </w:rPr>
            </w:pPr>
            <w:r>
              <w:rPr>
                <w:b/>
                <w:bCs/>
                <w:sz w:val="20"/>
                <w:szCs w:val="20"/>
              </w:rPr>
              <w:t>Предыдущий отчетный период, руб.</w:t>
            </w:r>
          </w:p>
        </w:tc>
      </w:tr>
      <w:tr w:rsidR="00773E2C">
        <w:trPr>
          <w:trHeight w:val="330"/>
        </w:trPr>
        <w:tc>
          <w:tcPr>
            <w:tcW w:w="993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773E2C" w:rsidRDefault="00805665">
            <w:pPr>
              <w:jc w:val="center"/>
              <w:rPr>
                <w:b/>
                <w:bCs/>
                <w:sz w:val="20"/>
                <w:szCs w:val="20"/>
              </w:rPr>
            </w:pPr>
            <w:r>
              <w:rPr>
                <w:b/>
                <w:bCs/>
                <w:sz w:val="20"/>
                <w:szCs w:val="20"/>
              </w:rPr>
              <w:t>Фиксированная часть вознаграждения</w:t>
            </w:r>
          </w:p>
        </w:tc>
      </w:tr>
      <w:tr w:rsidR="00773E2C">
        <w:trPr>
          <w:trHeight w:val="546"/>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Заработная плата сотрудников Банка (должностной оклад, денежное вознаграждение за исполнение должностных обязанностей и т.п.), в том числе работающих по совместительству</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158 238 080</w:t>
            </w:r>
          </w:p>
        </w:tc>
        <w:tc>
          <w:tcPr>
            <w:tcW w:w="1768"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rPr>
            </w:pPr>
            <w:r>
              <w:rPr>
                <w:sz w:val="20"/>
                <w:szCs w:val="20"/>
              </w:rPr>
              <w:t>153 388 321</w:t>
            </w:r>
          </w:p>
        </w:tc>
      </w:tr>
      <w:tr w:rsidR="00773E2C">
        <w:trPr>
          <w:trHeight w:val="315"/>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Прочее фиксированное вознаграждение</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21 126</w:t>
            </w:r>
          </w:p>
        </w:tc>
        <w:tc>
          <w:tcPr>
            <w:tcW w:w="1768"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rPr>
            </w:pPr>
            <w:r>
              <w:rPr>
                <w:sz w:val="20"/>
                <w:szCs w:val="20"/>
              </w:rPr>
              <w:t>157 590</w:t>
            </w:r>
          </w:p>
        </w:tc>
      </w:tr>
      <w:tr w:rsidR="00773E2C">
        <w:trPr>
          <w:trHeight w:val="315"/>
        </w:trPr>
        <w:tc>
          <w:tcPr>
            <w:tcW w:w="993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773E2C" w:rsidRDefault="00805665">
            <w:pPr>
              <w:jc w:val="center"/>
              <w:rPr>
                <w:b/>
                <w:bCs/>
                <w:sz w:val="20"/>
                <w:szCs w:val="20"/>
              </w:rPr>
            </w:pPr>
            <w:r>
              <w:rPr>
                <w:b/>
                <w:bCs/>
                <w:sz w:val="20"/>
                <w:szCs w:val="20"/>
              </w:rPr>
              <w:t>Итого</w:t>
            </w:r>
          </w:p>
        </w:tc>
      </w:tr>
      <w:tr w:rsidR="00773E2C">
        <w:trPr>
          <w:trHeight w:val="327"/>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Общий размер фиксированной части вознаграждения</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158 259 206</w:t>
            </w:r>
          </w:p>
        </w:tc>
        <w:tc>
          <w:tcPr>
            <w:tcW w:w="1768"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rPr>
            </w:pPr>
            <w:r>
              <w:rPr>
                <w:sz w:val="20"/>
                <w:szCs w:val="20"/>
              </w:rPr>
              <w:t>153 545 911</w:t>
            </w:r>
          </w:p>
        </w:tc>
      </w:tr>
      <w:tr w:rsidR="00773E2C">
        <w:trPr>
          <w:trHeight w:val="330"/>
        </w:trPr>
        <w:tc>
          <w:tcPr>
            <w:tcW w:w="993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773E2C" w:rsidRDefault="00805665">
            <w:pPr>
              <w:jc w:val="center"/>
              <w:rPr>
                <w:b/>
                <w:bCs/>
                <w:sz w:val="20"/>
                <w:szCs w:val="20"/>
              </w:rPr>
            </w:pPr>
            <w:r>
              <w:rPr>
                <w:b/>
                <w:bCs/>
                <w:sz w:val="20"/>
                <w:szCs w:val="20"/>
              </w:rPr>
              <w:t>Переменная часть вознаграждения</w:t>
            </w:r>
          </w:p>
        </w:tc>
      </w:tr>
      <w:tr w:rsidR="00773E2C">
        <w:trPr>
          <w:trHeight w:val="315"/>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Начисленные премии (бонусы)</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773E2C">
            <w:pPr>
              <w:jc w:val="center"/>
              <w:rPr>
                <w:sz w:val="20"/>
                <w:szCs w:val="20"/>
              </w:rPr>
            </w:pPr>
          </w:p>
        </w:tc>
        <w:tc>
          <w:tcPr>
            <w:tcW w:w="1768" w:type="dxa"/>
            <w:tcBorders>
              <w:top w:val="single" w:sz="4" w:space="0" w:color="auto"/>
              <w:left w:val="nil"/>
              <w:bottom w:val="single" w:sz="4" w:space="0" w:color="auto"/>
              <w:right w:val="single" w:sz="4" w:space="0" w:color="000000"/>
            </w:tcBorders>
            <w:shd w:val="clear" w:color="auto" w:fill="auto"/>
          </w:tcPr>
          <w:p w:rsidR="00773E2C" w:rsidRDefault="00773E2C">
            <w:pPr>
              <w:jc w:val="center"/>
              <w:rPr>
                <w:sz w:val="20"/>
                <w:szCs w:val="20"/>
              </w:rPr>
            </w:pPr>
          </w:p>
        </w:tc>
      </w:tr>
      <w:tr w:rsidR="00773E2C">
        <w:trPr>
          <w:trHeight w:val="465"/>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rPr>
                <w:sz w:val="20"/>
                <w:szCs w:val="20"/>
              </w:rPr>
            </w:pPr>
            <w:r>
              <w:rPr>
                <w:sz w:val="20"/>
                <w:szCs w:val="20"/>
              </w:rPr>
              <w:t>в том числе:</w:t>
            </w:r>
          </w:p>
          <w:p w:rsidR="00773E2C" w:rsidRDefault="00805665">
            <w:pPr>
              <w:rPr>
                <w:sz w:val="20"/>
                <w:szCs w:val="20"/>
              </w:rPr>
            </w:pPr>
            <w:r>
              <w:rPr>
                <w:sz w:val="20"/>
                <w:szCs w:val="20"/>
              </w:rPr>
              <w:t>в рамках программы краткосрочной мотивации</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154 292 830</w:t>
            </w:r>
          </w:p>
        </w:tc>
        <w:tc>
          <w:tcPr>
            <w:tcW w:w="1768"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lang w:val="en-US"/>
              </w:rPr>
            </w:pPr>
            <w:r>
              <w:rPr>
                <w:sz w:val="20"/>
                <w:szCs w:val="20"/>
              </w:rPr>
              <w:t>87 509 491</w:t>
            </w:r>
          </w:p>
        </w:tc>
      </w:tr>
      <w:tr w:rsidR="00773E2C">
        <w:trPr>
          <w:trHeight w:val="353"/>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в рамках программы долгосрочной мотивации*</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22 395 328</w:t>
            </w:r>
          </w:p>
        </w:tc>
        <w:tc>
          <w:tcPr>
            <w:tcW w:w="1768"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lang w:val="en-US"/>
              </w:rPr>
            </w:pPr>
            <w:r>
              <w:rPr>
                <w:sz w:val="20"/>
                <w:szCs w:val="20"/>
              </w:rPr>
              <w:t>14 819 395</w:t>
            </w:r>
          </w:p>
        </w:tc>
      </w:tr>
      <w:tr w:rsidR="00773E2C">
        <w:trPr>
          <w:trHeight w:val="338"/>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Общий размер корректировки переменной части отложенного вознаграждения предыдущих периодов с учетом достигнутых результатов и по прочим основаниям **</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lang w:val="en-US"/>
              </w:rPr>
              <w:t>-</w:t>
            </w:r>
          </w:p>
        </w:tc>
        <w:tc>
          <w:tcPr>
            <w:tcW w:w="1768"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lang w:val="en-US"/>
              </w:rPr>
            </w:pPr>
            <w:r>
              <w:rPr>
                <w:sz w:val="20"/>
                <w:szCs w:val="20"/>
              </w:rPr>
              <w:t>- 12 387 714</w:t>
            </w:r>
          </w:p>
        </w:tc>
      </w:tr>
      <w:tr w:rsidR="00773E2C">
        <w:trPr>
          <w:trHeight w:val="325"/>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Начисленное вознаграждение, выплачиваемое на основе акций</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768" w:type="dxa"/>
            <w:tcBorders>
              <w:top w:val="single" w:sz="4" w:space="0" w:color="auto"/>
              <w:left w:val="nil"/>
              <w:bottom w:val="single" w:sz="4" w:space="0" w:color="auto"/>
              <w:right w:val="single" w:sz="4" w:space="0" w:color="000000"/>
            </w:tcBorders>
            <w:vAlign w:val="center"/>
          </w:tcPr>
          <w:p w:rsidR="00773E2C" w:rsidRDefault="00805665">
            <w:pPr>
              <w:jc w:val="center"/>
              <w:rPr>
                <w:sz w:val="20"/>
                <w:szCs w:val="20"/>
                <w:lang w:val="en-US"/>
              </w:rPr>
            </w:pPr>
            <w:r>
              <w:rPr>
                <w:sz w:val="20"/>
                <w:szCs w:val="20"/>
                <w:lang w:val="en-US"/>
              </w:rPr>
              <w:t>-</w:t>
            </w:r>
          </w:p>
        </w:tc>
      </w:tr>
      <w:tr w:rsidR="00773E2C">
        <w:trPr>
          <w:trHeight w:val="366"/>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rPr>
                <w:sz w:val="20"/>
                <w:szCs w:val="20"/>
              </w:rPr>
            </w:pPr>
            <w:r>
              <w:rPr>
                <w:sz w:val="20"/>
                <w:szCs w:val="20"/>
              </w:rPr>
              <w:t>в том числе:</w:t>
            </w:r>
          </w:p>
          <w:p w:rsidR="00773E2C" w:rsidRDefault="00805665">
            <w:pPr>
              <w:rPr>
                <w:sz w:val="20"/>
                <w:szCs w:val="20"/>
              </w:rPr>
            </w:pPr>
            <w:r>
              <w:rPr>
                <w:sz w:val="20"/>
                <w:szCs w:val="20"/>
              </w:rPr>
              <w:t>в рамках программы краткосрочной мотивации</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768" w:type="dxa"/>
            <w:tcBorders>
              <w:top w:val="single" w:sz="4" w:space="0" w:color="auto"/>
              <w:left w:val="nil"/>
              <w:bottom w:val="single" w:sz="4" w:space="0" w:color="auto"/>
              <w:right w:val="single" w:sz="4" w:space="0" w:color="000000"/>
            </w:tcBorders>
            <w:vAlign w:val="center"/>
          </w:tcPr>
          <w:p w:rsidR="00773E2C" w:rsidRDefault="00805665">
            <w:pPr>
              <w:jc w:val="center"/>
              <w:rPr>
                <w:sz w:val="20"/>
                <w:szCs w:val="20"/>
                <w:lang w:val="en-US"/>
              </w:rPr>
            </w:pPr>
            <w:r>
              <w:rPr>
                <w:sz w:val="20"/>
                <w:szCs w:val="20"/>
                <w:lang w:val="en-US"/>
              </w:rPr>
              <w:t>-</w:t>
            </w:r>
          </w:p>
        </w:tc>
      </w:tr>
      <w:tr w:rsidR="00773E2C">
        <w:trPr>
          <w:trHeight w:val="296"/>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в рамках программы долгосрочной мотивации</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768" w:type="dxa"/>
            <w:tcBorders>
              <w:top w:val="single" w:sz="4" w:space="0" w:color="auto"/>
              <w:left w:val="nil"/>
              <w:bottom w:val="single" w:sz="4" w:space="0" w:color="auto"/>
              <w:right w:val="single" w:sz="4" w:space="0" w:color="000000"/>
            </w:tcBorders>
            <w:vAlign w:val="center"/>
          </w:tcPr>
          <w:p w:rsidR="00773E2C" w:rsidRDefault="00805665">
            <w:pPr>
              <w:jc w:val="center"/>
              <w:rPr>
                <w:sz w:val="20"/>
                <w:szCs w:val="20"/>
                <w:lang w:val="en-US"/>
              </w:rPr>
            </w:pPr>
            <w:r>
              <w:rPr>
                <w:sz w:val="20"/>
                <w:szCs w:val="20"/>
                <w:lang w:val="en-US"/>
              </w:rPr>
              <w:t>-</w:t>
            </w:r>
          </w:p>
        </w:tc>
      </w:tr>
      <w:tr w:rsidR="00773E2C">
        <w:trPr>
          <w:trHeight w:val="464"/>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Скорректированное с учетом достигнутых результатов вознаграждение, выплачиваемое на основе акций</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768" w:type="dxa"/>
            <w:tcBorders>
              <w:top w:val="single" w:sz="4" w:space="0" w:color="auto"/>
              <w:left w:val="nil"/>
              <w:bottom w:val="single" w:sz="4" w:space="0" w:color="auto"/>
              <w:right w:val="single" w:sz="4" w:space="0" w:color="000000"/>
            </w:tcBorders>
            <w:vAlign w:val="center"/>
          </w:tcPr>
          <w:p w:rsidR="00773E2C" w:rsidRDefault="00805665">
            <w:pPr>
              <w:jc w:val="center"/>
              <w:rPr>
                <w:sz w:val="20"/>
                <w:szCs w:val="20"/>
                <w:lang w:val="en-US"/>
              </w:rPr>
            </w:pPr>
            <w:r>
              <w:rPr>
                <w:sz w:val="20"/>
                <w:szCs w:val="20"/>
                <w:lang w:val="en-US"/>
              </w:rPr>
              <w:t>-</w:t>
            </w:r>
          </w:p>
        </w:tc>
      </w:tr>
      <w:tr w:rsidR="00773E2C">
        <w:trPr>
          <w:trHeight w:val="814"/>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Переменное вознаграждение за работу в органах управления или на руководящих должностях в других организациях, входящих в группу общества</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768" w:type="dxa"/>
            <w:tcBorders>
              <w:top w:val="single" w:sz="4" w:space="0" w:color="auto"/>
              <w:left w:val="nil"/>
              <w:bottom w:val="single" w:sz="4" w:space="0" w:color="auto"/>
              <w:right w:val="single" w:sz="4" w:space="0" w:color="000000"/>
            </w:tcBorders>
            <w:vAlign w:val="center"/>
          </w:tcPr>
          <w:p w:rsidR="00773E2C" w:rsidRDefault="00805665">
            <w:pPr>
              <w:jc w:val="center"/>
              <w:rPr>
                <w:sz w:val="20"/>
                <w:szCs w:val="20"/>
                <w:lang w:val="en-US"/>
              </w:rPr>
            </w:pPr>
            <w:r>
              <w:rPr>
                <w:sz w:val="20"/>
                <w:szCs w:val="20"/>
                <w:lang w:val="en-US"/>
              </w:rPr>
              <w:t>-</w:t>
            </w:r>
          </w:p>
        </w:tc>
      </w:tr>
      <w:tr w:rsidR="00773E2C">
        <w:trPr>
          <w:trHeight w:val="450"/>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rPr>
                <w:sz w:val="20"/>
                <w:szCs w:val="20"/>
              </w:rPr>
            </w:pPr>
            <w:r>
              <w:rPr>
                <w:sz w:val="20"/>
                <w:szCs w:val="20"/>
              </w:rPr>
              <w:t>в том числе:</w:t>
            </w:r>
          </w:p>
          <w:p w:rsidR="00773E2C" w:rsidRDefault="00805665">
            <w:pPr>
              <w:rPr>
                <w:sz w:val="20"/>
                <w:szCs w:val="20"/>
              </w:rPr>
            </w:pPr>
            <w:r>
              <w:rPr>
                <w:sz w:val="20"/>
                <w:szCs w:val="20"/>
              </w:rPr>
              <w:t>в рамках программы краткосрочной мотивации</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768" w:type="dxa"/>
            <w:tcBorders>
              <w:top w:val="single" w:sz="4" w:space="0" w:color="auto"/>
              <w:left w:val="nil"/>
              <w:bottom w:val="single" w:sz="4" w:space="0" w:color="auto"/>
              <w:right w:val="single" w:sz="4" w:space="0" w:color="000000"/>
            </w:tcBorders>
            <w:vAlign w:val="center"/>
          </w:tcPr>
          <w:p w:rsidR="00773E2C" w:rsidRDefault="00805665">
            <w:pPr>
              <w:jc w:val="center"/>
              <w:rPr>
                <w:sz w:val="20"/>
                <w:szCs w:val="20"/>
                <w:lang w:val="en-US"/>
              </w:rPr>
            </w:pPr>
            <w:r>
              <w:rPr>
                <w:sz w:val="20"/>
                <w:szCs w:val="20"/>
                <w:lang w:val="en-US"/>
              </w:rPr>
              <w:t>-</w:t>
            </w:r>
          </w:p>
        </w:tc>
      </w:tr>
      <w:tr w:rsidR="00773E2C">
        <w:trPr>
          <w:trHeight w:val="296"/>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lastRenderedPageBreak/>
              <w:t>в рамках программы долгосрочной мотивации</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768" w:type="dxa"/>
            <w:tcBorders>
              <w:top w:val="single" w:sz="4" w:space="0" w:color="auto"/>
              <w:left w:val="nil"/>
              <w:bottom w:val="single" w:sz="4" w:space="0" w:color="auto"/>
              <w:right w:val="single" w:sz="4" w:space="0" w:color="000000"/>
            </w:tcBorders>
            <w:vAlign w:val="center"/>
          </w:tcPr>
          <w:p w:rsidR="00773E2C" w:rsidRDefault="00805665">
            <w:pPr>
              <w:jc w:val="center"/>
              <w:rPr>
                <w:sz w:val="20"/>
                <w:szCs w:val="20"/>
                <w:lang w:val="en-US"/>
              </w:rPr>
            </w:pPr>
            <w:r>
              <w:rPr>
                <w:sz w:val="20"/>
                <w:szCs w:val="20"/>
                <w:lang w:val="en-US"/>
              </w:rPr>
              <w:t>-</w:t>
            </w:r>
          </w:p>
        </w:tc>
      </w:tr>
      <w:tr w:rsidR="00773E2C">
        <w:trPr>
          <w:trHeight w:val="699"/>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Скорректированное с учетом достигнутых результатов переменное вознаграждение за работу в органах управления или на руководящих должностях в других организациях, входящих в группу общества</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768" w:type="dxa"/>
            <w:tcBorders>
              <w:top w:val="single" w:sz="4" w:space="0" w:color="auto"/>
              <w:left w:val="nil"/>
              <w:bottom w:val="single" w:sz="4" w:space="0" w:color="auto"/>
              <w:right w:val="single" w:sz="4" w:space="0" w:color="000000"/>
            </w:tcBorders>
            <w:vAlign w:val="center"/>
          </w:tcPr>
          <w:p w:rsidR="00773E2C" w:rsidRDefault="00805665">
            <w:pPr>
              <w:jc w:val="center"/>
              <w:rPr>
                <w:sz w:val="20"/>
                <w:szCs w:val="20"/>
                <w:lang w:val="en-US"/>
              </w:rPr>
            </w:pPr>
            <w:r>
              <w:rPr>
                <w:sz w:val="20"/>
                <w:szCs w:val="20"/>
                <w:lang w:val="en-US"/>
              </w:rPr>
              <w:t>-</w:t>
            </w:r>
          </w:p>
        </w:tc>
      </w:tr>
      <w:tr w:rsidR="00773E2C">
        <w:trPr>
          <w:trHeight w:val="315"/>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Прочее переменное вознаграждение</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768" w:type="dxa"/>
            <w:tcBorders>
              <w:top w:val="single" w:sz="4" w:space="0" w:color="auto"/>
              <w:left w:val="nil"/>
              <w:bottom w:val="single" w:sz="4" w:space="0" w:color="auto"/>
              <w:right w:val="single" w:sz="4" w:space="0" w:color="000000"/>
            </w:tcBorders>
            <w:vAlign w:val="center"/>
          </w:tcPr>
          <w:p w:rsidR="00773E2C" w:rsidRDefault="00805665">
            <w:pPr>
              <w:jc w:val="center"/>
              <w:rPr>
                <w:sz w:val="20"/>
                <w:szCs w:val="20"/>
                <w:lang w:val="en-US"/>
              </w:rPr>
            </w:pPr>
            <w:r>
              <w:rPr>
                <w:sz w:val="20"/>
                <w:szCs w:val="20"/>
                <w:lang w:val="en-US"/>
              </w:rPr>
              <w:t>-</w:t>
            </w:r>
          </w:p>
        </w:tc>
      </w:tr>
      <w:tr w:rsidR="00773E2C">
        <w:trPr>
          <w:trHeight w:val="274"/>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Возвращенные суммы, выплаченные в качестве переменной части вознаграждения</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768" w:type="dxa"/>
            <w:tcBorders>
              <w:top w:val="single" w:sz="4" w:space="0" w:color="auto"/>
              <w:left w:val="nil"/>
              <w:bottom w:val="single" w:sz="4" w:space="0" w:color="auto"/>
              <w:right w:val="single" w:sz="4" w:space="0" w:color="000000"/>
            </w:tcBorders>
            <w:vAlign w:val="center"/>
          </w:tcPr>
          <w:p w:rsidR="00773E2C" w:rsidRDefault="00805665">
            <w:pPr>
              <w:jc w:val="center"/>
              <w:rPr>
                <w:sz w:val="20"/>
                <w:szCs w:val="20"/>
                <w:lang w:val="en-US"/>
              </w:rPr>
            </w:pPr>
            <w:r>
              <w:rPr>
                <w:sz w:val="20"/>
                <w:szCs w:val="20"/>
                <w:lang w:val="en-US"/>
              </w:rPr>
              <w:t>-</w:t>
            </w:r>
          </w:p>
        </w:tc>
      </w:tr>
      <w:tr w:rsidR="00773E2C">
        <w:trPr>
          <w:trHeight w:val="315"/>
        </w:trPr>
        <w:tc>
          <w:tcPr>
            <w:tcW w:w="993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773E2C" w:rsidRDefault="00805665">
            <w:pPr>
              <w:jc w:val="center"/>
              <w:rPr>
                <w:b/>
                <w:bCs/>
                <w:sz w:val="20"/>
                <w:szCs w:val="20"/>
              </w:rPr>
            </w:pPr>
            <w:r>
              <w:rPr>
                <w:b/>
                <w:bCs/>
                <w:sz w:val="20"/>
                <w:szCs w:val="20"/>
              </w:rPr>
              <w:t>Итого</w:t>
            </w:r>
          </w:p>
        </w:tc>
      </w:tr>
      <w:tr w:rsidR="00773E2C">
        <w:trPr>
          <w:trHeight w:val="325"/>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Общий начисленный размер переменной части вознаграждения*</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176 688 157</w:t>
            </w:r>
          </w:p>
        </w:tc>
        <w:tc>
          <w:tcPr>
            <w:tcW w:w="1768"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lang w:val="en-US"/>
              </w:rPr>
            </w:pPr>
            <w:r>
              <w:rPr>
                <w:sz w:val="20"/>
                <w:szCs w:val="20"/>
              </w:rPr>
              <w:t>102 328 886</w:t>
            </w:r>
          </w:p>
        </w:tc>
      </w:tr>
      <w:tr w:rsidR="00773E2C">
        <w:trPr>
          <w:trHeight w:val="620"/>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Общий размер корректировки переменной части отложенного вознаграждения предыдущих периодов с учетом достигнутых результатов и по прочим основаниям **</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lang w:val="en-US"/>
              </w:rPr>
            </w:pPr>
            <w:r>
              <w:rPr>
                <w:sz w:val="20"/>
                <w:szCs w:val="20"/>
                <w:lang w:val="en-US"/>
              </w:rPr>
              <w:t>-</w:t>
            </w:r>
          </w:p>
        </w:tc>
        <w:tc>
          <w:tcPr>
            <w:tcW w:w="1768"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lang w:val="en-US"/>
              </w:rPr>
            </w:pPr>
            <w:r>
              <w:rPr>
                <w:sz w:val="20"/>
                <w:szCs w:val="20"/>
              </w:rPr>
              <w:t>- 12 387 714</w:t>
            </w:r>
          </w:p>
        </w:tc>
      </w:tr>
      <w:tr w:rsidR="00773E2C">
        <w:trPr>
          <w:trHeight w:val="479"/>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Общий скорректированный размер переменной части вознаграждения к выплате</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229 786 054</w:t>
            </w:r>
          </w:p>
        </w:tc>
        <w:tc>
          <w:tcPr>
            <w:tcW w:w="1768"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lang w:val="en-US"/>
              </w:rPr>
            </w:pPr>
            <w:r>
              <w:rPr>
                <w:sz w:val="20"/>
                <w:szCs w:val="20"/>
              </w:rPr>
              <w:t>138 913 315</w:t>
            </w:r>
          </w:p>
        </w:tc>
      </w:tr>
      <w:tr w:rsidR="00773E2C">
        <w:trPr>
          <w:trHeight w:val="535"/>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rPr>
                <w:sz w:val="20"/>
                <w:szCs w:val="20"/>
              </w:rPr>
            </w:pPr>
            <w:r>
              <w:rPr>
                <w:sz w:val="20"/>
                <w:szCs w:val="20"/>
              </w:rPr>
              <w:t>в том числе:</w:t>
            </w:r>
          </w:p>
          <w:p w:rsidR="00773E2C" w:rsidRDefault="00805665">
            <w:pPr>
              <w:rPr>
                <w:sz w:val="20"/>
                <w:szCs w:val="20"/>
              </w:rPr>
            </w:pPr>
            <w:r>
              <w:rPr>
                <w:sz w:val="20"/>
                <w:szCs w:val="20"/>
              </w:rPr>
              <w:t>выплаченная переменная часть вознаграждения**</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154 292 830</w:t>
            </w:r>
          </w:p>
        </w:tc>
        <w:tc>
          <w:tcPr>
            <w:tcW w:w="1768"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lang w:val="en-US"/>
              </w:rPr>
            </w:pPr>
            <w:r>
              <w:rPr>
                <w:sz w:val="20"/>
                <w:szCs w:val="20"/>
              </w:rPr>
              <w:t>87 509 491</w:t>
            </w:r>
          </w:p>
        </w:tc>
      </w:tr>
      <w:tr w:rsidR="00773E2C">
        <w:trPr>
          <w:trHeight w:val="395"/>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выплаченная переменная часть отложенного вознаграждения предыдущих периодов, скорректированная с учетом достигнутых результатов и по прочим основаниям **</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29 031 102</w:t>
            </w:r>
          </w:p>
        </w:tc>
        <w:tc>
          <w:tcPr>
            <w:tcW w:w="1768"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rPr>
            </w:pPr>
            <w:r>
              <w:rPr>
                <w:sz w:val="20"/>
                <w:szCs w:val="20"/>
              </w:rPr>
              <w:t>24 801 370</w:t>
            </w:r>
          </w:p>
        </w:tc>
      </w:tr>
      <w:tr w:rsidR="00773E2C">
        <w:trPr>
          <w:trHeight w:val="395"/>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переменная часть вознаграждения (в том числе за предыдущие периоды), выплата которого отложена *</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46 462 123</w:t>
            </w:r>
          </w:p>
        </w:tc>
        <w:tc>
          <w:tcPr>
            <w:tcW w:w="1768"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rPr>
            </w:pPr>
            <w:r>
              <w:rPr>
                <w:sz w:val="20"/>
                <w:szCs w:val="20"/>
              </w:rPr>
              <w:t>26 602 454</w:t>
            </w:r>
          </w:p>
        </w:tc>
      </w:tr>
      <w:tr w:rsidR="00773E2C">
        <w:trPr>
          <w:trHeight w:val="630"/>
        </w:trPr>
        <w:tc>
          <w:tcPr>
            <w:tcW w:w="993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73E2C" w:rsidRDefault="00805665">
            <w:pPr>
              <w:jc w:val="center"/>
              <w:rPr>
                <w:b/>
                <w:bCs/>
                <w:sz w:val="20"/>
                <w:szCs w:val="20"/>
              </w:rPr>
            </w:pPr>
            <w:r>
              <w:rPr>
                <w:b/>
                <w:bCs/>
                <w:sz w:val="20"/>
                <w:szCs w:val="20"/>
              </w:rPr>
              <w:t>Выходные пособия, компенсации и иные выплаты в связи с досрочным прекращением полномочий («золотые парашюты»)</w:t>
            </w:r>
          </w:p>
        </w:tc>
      </w:tr>
      <w:tr w:rsidR="00773E2C">
        <w:trPr>
          <w:trHeight w:val="590"/>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Начисленные выходные пособия, компенсации и иные выплаты в связи с досрочным прекращением полномочий</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10 000 000</w:t>
            </w:r>
          </w:p>
        </w:tc>
        <w:tc>
          <w:tcPr>
            <w:tcW w:w="1768"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rPr>
            </w:pPr>
            <w:r>
              <w:rPr>
                <w:sz w:val="20"/>
                <w:szCs w:val="20"/>
              </w:rPr>
              <w:t>88 480 060</w:t>
            </w:r>
          </w:p>
        </w:tc>
      </w:tr>
      <w:tr w:rsidR="00773E2C">
        <w:trPr>
          <w:trHeight w:val="506"/>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rPr>
                <w:sz w:val="20"/>
                <w:szCs w:val="20"/>
              </w:rPr>
            </w:pPr>
            <w:r>
              <w:rPr>
                <w:sz w:val="20"/>
                <w:szCs w:val="20"/>
              </w:rPr>
              <w:t>в том числе:</w:t>
            </w:r>
          </w:p>
          <w:p w:rsidR="00773E2C" w:rsidRDefault="00805665">
            <w:pPr>
              <w:rPr>
                <w:sz w:val="20"/>
                <w:szCs w:val="20"/>
              </w:rPr>
            </w:pPr>
            <w:r>
              <w:rPr>
                <w:sz w:val="20"/>
                <w:szCs w:val="20"/>
              </w:rPr>
              <w:t>выплата которых отложена</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768"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lang w:val="en-US"/>
              </w:rPr>
            </w:pPr>
            <w:r>
              <w:rPr>
                <w:sz w:val="20"/>
                <w:szCs w:val="20"/>
              </w:rPr>
              <w:t>-</w:t>
            </w:r>
          </w:p>
        </w:tc>
      </w:tr>
      <w:tr w:rsidR="00773E2C">
        <w:trPr>
          <w:trHeight w:val="771"/>
        </w:trPr>
        <w:tc>
          <w:tcPr>
            <w:tcW w:w="6510" w:type="dxa"/>
            <w:tcBorders>
              <w:top w:val="single" w:sz="4" w:space="0" w:color="auto"/>
              <w:left w:val="single" w:sz="4" w:space="0" w:color="auto"/>
              <w:bottom w:val="single" w:sz="4" w:space="0" w:color="auto"/>
              <w:right w:val="single" w:sz="4" w:space="0" w:color="000000"/>
            </w:tcBorders>
            <w:shd w:val="clear" w:color="auto" w:fill="auto"/>
            <w:vAlign w:val="bottom"/>
          </w:tcPr>
          <w:p w:rsidR="00773E2C" w:rsidRDefault="00805665">
            <w:pPr>
              <w:jc w:val="both"/>
              <w:rPr>
                <w:sz w:val="20"/>
                <w:szCs w:val="20"/>
              </w:rPr>
            </w:pPr>
            <w:r>
              <w:rPr>
                <w:sz w:val="20"/>
                <w:szCs w:val="20"/>
              </w:rPr>
              <w:t>Скорректированные с учетом достигнутых результатов выходные пособия, компенсации и иные выплаты в связи с досрочным прекращением полномочий</w:t>
            </w:r>
          </w:p>
        </w:tc>
        <w:tc>
          <w:tcPr>
            <w:tcW w:w="1652" w:type="dxa"/>
            <w:tcBorders>
              <w:top w:val="single" w:sz="4" w:space="0" w:color="auto"/>
              <w:left w:val="nil"/>
              <w:bottom w:val="single" w:sz="4" w:space="0" w:color="auto"/>
              <w:right w:val="single" w:sz="4" w:space="0" w:color="000000"/>
            </w:tcBorders>
            <w:shd w:val="clear" w:color="auto" w:fill="auto"/>
            <w:noWrap/>
            <w:vAlign w:val="center"/>
          </w:tcPr>
          <w:p w:rsidR="00773E2C" w:rsidRDefault="00805665">
            <w:pPr>
              <w:jc w:val="center"/>
              <w:rPr>
                <w:sz w:val="20"/>
                <w:szCs w:val="20"/>
              </w:rPr>
            </w:pPr>
            <w:r>
              <w:rPr>
                <w:sz w:val="20"/>
                <w:szCs w:val="20"/>
              </w:rPr>
              <w:t>-</w:t>
            </w:r>
          </w:p>
        </w:tc>
        <w:tc>
          <w:tcPr>
            <w:tcW w:w="1768" w:type="dxa"/>
            <w:tcBorders>
              <w:top w:val="single" w:sz="4" w:space="0" w:color="auto"/>
              <w:left w:val="nil"/>
              <w:bottom w:val="single" w:sz="4" w:space="0" w:color="auto"/>
              <w:right w:val="single" w:sz="4" w:space="0" w:color="000000"/>
            </w:tcBorders>
            <w:shd w:val="clear" w:color="auto" w:fill="auto"/>
            <w:vAlign w:val="center"/>
          </w:tcPr>
          <w:p w:rsidR="00773E2C" w:rsidRDefault="00805665">
            <w:pPr>
              <w:jc w:val="center"/>
              <w:rPr>
                <w:sz w:val="20"/>
                <w:szCs w:val="20"/>
                <w:lang w:val="en-US"/>
              </w:rPr>
            </w:pPr>
            <w:r>
              <w:rPr>
                <w:sz w:val="20"/>
                <w:szCs w:val="20"/>
              </w:rPr>
              <w:t>-</w:t>
            </w:r>
          </w:p>
        </w:tc>
      </w:tr>
    </w:tbl>
    <w:p w:rsidR="00773E2C" w:rsidRDefault="00805665">
      <w:pPr>
        <w:ind w:firstLine="567"/>
        <w:jc w:val="both"/>
        <w:rPr>
          <w:i/>
          <w:color w:val="000000"/>
          <w:sz w:val="20"/>
          <w:szCs w:val="20"/>
        </w:rPr>
      </w:pPr>
      <w:r>
        <w:rPr>
          <w:i/>
          <w:color w:val="000000"/>
          <w:sz w:val="20"/>
          <w:szCs w:val="20"/>
        </w:rPr>
        <w:t>*</w:t>
      </w:r>
      <w:r>
        <w:rPr>
          <w:i/>
          <w:color w:val="000000"/>
          <w:sz w:val="20"/>
          <w:szCs w:val="20"/>
        </w:rPr>
        <w:tab/>
        <w:t xml:space="preserve"> - вид вознаграждения указан с учетом дисконтирования</w:t>
      </w:r>
    </w:p>
    <w:p w:rsidR="00773E2C" w:rsidRDefault="00805665">
      <w:pPr>
        <w:ind w:firstLine="567"/>
        <w:jc w:val="both"/>
        <w:rPr>
          <w:i/>
          <w:color w:val="000000"/>
          <w:sz w:val="20"/>
          <w:szCs w:val="20"/>
        </w:rPr>
      </w:pPr>
      <w:r>
        <w:rPr>
          <w:i/>
          <w:color w:val="000000"/>
          <w:sz w:val="20"/>
          <w:szCs w:val="20"/>
        </w:rPr>
        <w:t>** - включая период формирования годового отчета</w:t>
      </w:r>
    </w:p>
    <w:p w:rsidR="00C120C9" w:rsidRDefault="00C120C9">
      <w:pPr>
        <w:ind w:firstLine="567"/>
        <w:jc w:val="both"/>
        <w:rPr>
          <w:color w:val="000000"/>
          <w:sz w:val="22"/>
          <w:szCs w:val="22"/>
        </w:rPr>
      </w:pPr>
    </w:p>
    <w:p w:rsidR="00773E2C" w:rsidRDefault="00805665">
      <w:pPr>
        <w:keepNext/>
        <w:ind w:firstLine="567"/>
        <w:jc w:val="both"/>
        <w:outlineLvl w:val="1"/>
        <w:rPr>
          <w:b/>
          <w:bCs/>
          <w:sz w:val="22"/>
          <w:szCs w:val="22"/>
        </w:rPr>
      </w:pPr>
      <w:bookmarkStart w:id="32" w:name="_Toc229052202"/>
      <w:r>
        <w:rPr>
          <w:b/>
          <w:bCs/>
          <w:sz w:val="22"/>
          <w:szCs w:val="22"/>
        </w:rPr>
        <w:t>4.13</w:t>
      </w:r>
      <w:r w:rsidR="00782648">
        <w:rPr>
          <w:b/>
          <w:bCs/>
          <w:sz w:val="22"/>
          <w:szCs w:val="22"/>
        </w:rPr>
        <w:t>.</w:t>
      </w:r>
      <w:r>
        <w:rPr>
          <w:b/>
          <w:bCs/>
          <w:sz w:val="22"/>
          <w:szCs w:val="22"/>
        </w:rPr>
        <w:t xml:space="preserve"> Сведения о соблюдении принципов и рекомендаций </w:t>
      </w:r>
      <w:hyperlink r:id="rId11" w:history="1">
        <w:r>
          <w:rPr>
            <w:b/>
            <w:bCs/>
            <w:sz w:val="22"/>
            <w:szCs w:val="22"/>
          </w:rPr>
          <w:t>Кодекса</w:t>
        </w:r>
      </w:hyperlink>
      <w:r>
        <w:rPr>
          <w:b/>
          <w:bCs/>
          <w:sz w:val="22"/>
          <w:szCs w:val="22"/>
        </w:rPr>
        <w:t xml:space="preserve"> корпоративного управления, рекомендованного к применению Банком России</w:t>
      </w:r>
      <w:bookmarkEnd w:id="32"/>
    </w:p>
    <w:p w:rsidR="00773E2C" w:rsidRDefault="00773E2C">
      <w:pPr>
        <w:ind w:firstLine="567"/>
        <w:jc w:val="both"/>
        <w:rPr>
          <w:color w:val="000000"/>
          <w:sz w:val="22"/>
          <w:szCs w:val="22"/>
        </w:rPr>
      </w:pPr>
    </w:p>
    <w:p w:rsidR="00773E2C" w:rsidRDefault="00805665">
      <w:pPr>
        <w:ind w:firstLine="567"/>
        <w:jc w:val="both"/>
        <w:rPr>
          <w:color w:val="000000"/>
          <w:sz w:val="22"/>
          <w:szCs w:val="22"/>
        </w:rPr>
      </w:pPr>
      <w:r>
        <w:rPr>
          <w:color w:val="000000"/>
          <w:sz w:val="22"/>
          <w:szCs w:val="22"/>
        </w:rPr>
        <w:t>Оценка соблюдения Банком принципов и рекомендаций Кодекса корпоративного управления проводилась на основании Рекомендаций Банка России по составлению отчета о соблюдении принципов и рекомендаций Кодекса корпоративного управления (Письмо Банка России от 27.12.2021 № ИН-06-28/102).</w:t>
      </w:r>
    </w:p>
    <w:p w:rsidR="00773E2C" w:rsidRDefault="00805665">
      <w:pPr>
        <w:ind w:firstLine="567"/>
        <w:jc w:val="both"/>
        <w:rPr>
          <w:color w:val="000000"/>
          <w:sz w:val="22"/>
          <w:szCs w:val="22"/>
        </w:rPr>
      </w:pPr>
      <w:r>
        <w:rPr>
          <w:color w:val="000000"/>
          <w:sz w:val="22"/>
          <w:szCs w:val="22"/>
        </w:rPr>
        <w:t xml:space="preserve">Наблюдательный совет ПАО «БАНК УРАЛСИБ» подтверждает, что приведенные в прилагаемом Отчете данные содержат полную и достоверную информацию о соблюдении Банком принципов и рекомендаций Кодекса корпоративного управления за 2025 год.  </w:t>
      </w:r>
      <w:r w:rsidR="00853B27">
        <w:rPr>
          <w:color w:val="000000"/>
          <w:sz w:val="22"/>
          <w:szCs w:val="22"/>
        </w:rPr>
        <w:t>О</w:t>
      </w:r>
      <w:r>
        <w:rPr>
          <w:color w:val="000000"/>
          <w:sz w:val="22"/>
          <w:szCs w:val="22"/>
        </w:rPr>
        <w:t xml:space="preserve">тчет о соблюдении принципов и рекомендаций Кодекса корпоративного управления был рассмотрен Наблюдательным советом на заседании </w:t>
      </w:r>
      <w:r w:rsidR="002A2ED1" w:rsidRPr="00F976FA">
        <w:rPr>
          <w:sz w:val="22"/>
          <w:szCs w:val="22"/>
        </w:rPr>
        <w:t>__</w:t>
      </w:r>
      <w:r w:rsidRPr="00F976FA">
        <w:rPr>
          <w:sz w:val="22"/>
          <w:szCs w:val="22"/>
        </w:rPr>
        <w:t xml:space="preserve"> мая 2026 года (протокол №</w:t>
      </w:r>
      <w:r w:rsidR="002A2ED1" w:rsidRPr="00F976FA">
        <w:rPr>
          <w:sz w:val="22"/>
          <w:szCs w:val="22"/>
        </w:rPr>
        <w:t>__</w:t>
      </w:r>
      <w:r w:rsidRPr="00F976FA">
        <w:rPr>
          <w:sz w:val="22"/>
          <w:szCs w:val="22"/>
        </w:rPr>
        <w:t xml:space="preserve"> от </w:t>
      </w:r>
      <w:r w:rsidR="002A2ED1" w:rsidRPr="00F976FA">
        <w:rPr>
          <w:sz w:val="22"/>
          <w:szCs w:val="22"/>
        </w:rPr>
        <w:t>__</w:t>
      </w:r>
      <w:r w:rsidRPr="00F976FA">
        <w:rPr>
          <w:sz w:val="22"/>
          <w:szCs w:val="22"/>
        </w:rPr>
        <w:t xml:space="preserve"> мая 2026 года)</w:t>
      </w:r>
      <w:r w:rsidRPr="00853B27">
        <w:rPr>
          <w:sz w:val="22"/>
          <w:szCs w:val="22"/>
        </w:rPr>
        <w:t xml:space="preserve"> в </w:t>
      </w:r>
      <w:r>
        <w:rPr>
          <w:color w:val="000000"/>
          <w:sz w:val="22"/>
          <w:szCs w:val="22"/>
        </w:rPr>
        <w:t>рамках</w:t>
      </w:r>
      <w:r w:rsidR="00846DF2">
        <w:rPr>
          <w:color w:val="000000"/>
          <w:sz w:val="22"/>
          <w:szCs w:val="22"/>
        </w:rPr>
        <w:t xml:space="preserve"> рассмотрения и утверждения</w:t>
      </w:r>
      <w:r>
        <w:rPr>
          <w:color w:val="000000"/>
          <w:sz w:val="22"/>
          <w:szCs w:val="22"/>
        </w:rPr>
        <w:t xml:space="preserve"> настоящего Годового отчета.</w:t>
      </w:r>
    </w:p>
    <w:p w:rsidR="00773E2C" w:rsidRDefault="00805665">
      <w:pPr>
        <w:ind w:firstLine="567"/>
        <w:jc w:val="both"/>
        <w:rPr>
          <w:color w:val="000000"/>
          <w:sz w:val="22"/>
          <w:szCs w:val="22"/>
        </w:rPr>
      </w:pPr>
      <w:r>
        <w:rPr>
          <w:color w:val="000000"/>
          <w:sz w:val="22"/>
          <w:szCs w:val="22"/>
        </w:rPr>
        <w:t>Отчет о соблюдении принципов и рекомендаций Кодекса корпоративного управления содержится в Приложении 1 к настоящему Годовому отчету.</w:t>
      </w:r>
    </w:p>
    <w:p w:rsidR="00773E2C" w:rsidRDefault="00773E2C">
      <w:pPr>
        <w:ind w:firstLine="567"/>
        <w:jc w:val="both"/>
        <w:rPr>
          <w:color w:val="000000"/>
          <w:sz w:val="22"/>
          <w:szCs w:val="22"/>
        </w:rPr>
      </w:pPr>
    </w:p>
    <w:p w:rsidR="00773E2C" w:rsidRDefault="00805665">
      <w:pPr>
        <w:keepNext/>
        <w:ind w:firstLine="567"/>
        <w:jc w:val="both"/>
        <w:outlineLvl w:val="1"/>
        <w:rPr>
          <w:b/>
          <w:bCs/>
          <w:sz w:val="22"/>
          <w:szCs w:val="22"/>
        </w:rPr>
      </w:pPr>
      <w:bookmarkStart w:id="33" w:name="_Toc229052203"/>
      <w:bookmarkStart w:id="34" w:name="_Toc69721483"/>
      <w:r>
        <w:rPr>
          <w:b/>
          <w:bCs/>
          <w:sz w:val="22"/>
          <w:szCs w:val="22"/>
        </w:rPr>
        <w:t>5. Устойчивое развитие</w:t>
      </w:r>
      <w:bookmarkEnd w:id="33"/>
    </w:p>
    <w:bookmarkEnd w:id="34"/>
    <w:p w:rsidR="00773E2C" w:rsidRDefault="00773E2C">
      <w:pPr>
        <w:spacing w:line="259" w:lineRule="auto"/>
        <w:ind w:firstLine="567"/>
        <w:jc w:val="both"/>
        <w:rPr>
          <w:sz w:val="22"/>
          <w:szCs w:val="22"/>
        </w:rPr>
      </w:pPr>
    </w:p>
    <w:p w:rsidR="00773E2C" w:rsidRDefault="00805665">
      <w:pPr>
        <w:ind w:firstLine="567"/>
        <w:jc w:val="both"/>
        <w:rPr>
          <w:color w:val="000000"/>
          <w:sz w:val="22"/>
        </w:rPr>
      </w:pPr>
      <w:r>
        <w:rPr>
          <w:color w:val="000000"/>
          <w:sz w:val="22"/>
        </w:rPr>
        <w:t xml:space="preserve">ПАО «БАНК УРАЛСИБ» на протяжении всей своей истории развития придерживается принципов корпоративной социальной ответственности, базовыми из которых являются: благополучие человека и общества, социальное партнерство, </w:t>
      </w:r>
      <w:bookmarkStart w:id="35" w:name="_Hlk227081106"/>
      <w:r>
        <w:rPr>
          <w:color w:val="000000"/>
          <w:sz w:val="22"/>
        </w:rPr>
        <w:t>надежность и профессионализм, а также прозрачность и открытость</w:t>
      </w:r>
      <w:bookmarkEnd w:id="35"/>
      <w:r>
        <w:rPr>
          <w:color w:val="000000"/>
          <w:sz w:val="22"/>
        </w:rPr>
        <w:t>.</w:t>
      </w:r>
    </w:p>
    <w:p w:rsidR="00773E2C" w:rsidRDefault="00805665">
      <w:pPr>
        <w:ind w:firstLine="567"/>
        <w:jc w:val="both"/>
        <w:rPr>
          <w:color w:val="000000"/>
          <w:sz w:val="22"/>
        </w:rPr>
      </w:pPr>
      <w:r>
        <w:rPr>
          <w:color w:val="000000"/>
          <w:sz w:val="22"/>
        </w:rPr>
        <w:t xml:space="preserve">В соответствии с классификацией Целей устойчивого развития (ЦУР) ООН, Банк уделяет внимание инициативам в сфере экологии: ЦУР «12. Ответственное потребление и производство», «14. </w:t>
      </w:r>
      <w:r>
        <w:rPr>
          <w:color w:val="000000"/>
          <w:sz w:val="22"/>
        </w:rPr>
        <w:lastRenderedPageBreak/>
        <w:t>Сохранение водных экосистем», «15. Сохранение экосистем суши», и инициативам социальной направленности: ЦУР «1. Ликвидация нищеты», «3. Хорошее здоровье и благополучие», «4. Качественное образование», «9. Индустриализация, инновация и инфраструктура», «10. Уменьшение неравенства», «11. Устойчивые города и населенные пункты», «16. Правосудие и эффективные институты» и «17. Партнерство в интересах устойчивого развития».</w:t>
      </w:r>
    </w:p>
    <w:p w:rsidR="00773E2C" w:rsidRDefault="00805665">
      <w:pPr>
        <w:ind w:firstLine="567"/>
        <w:jc w:val="both"/>
        <w:rPr>
          <w:color w:val="000000"/>
          <w:sz w:val="22"/>
        </w:rPr>
      </w:pPr>
      <w:r>
        <w:rPr>
          <w:color w:val="000000"/>
          <w:sz w:val="22"/>
        </w:rPr>
        <w:t>Как ответственный работодатель Банк создает комфортные условия труда и возможности развития для своих сотрудников в соответствии с ЦУР «8. Достойная работа и экономический рост», независимо от их пола – ЦУР «5. Обеспечение гендерного равенства».</w:t>
      </w:r>
    </w:p>
    <w:p w:rsidR="00773E2C" w:rsidRDefault="00805665">
      <w:pPr>
        <w:ind w:firstLine="567"/>
        <w:jc w:val="both"/>
        <w:rPr>
          <w:color w:val="000000"/>
          <w:sz w:val="22"/>
          <w:szCs w:val="22"/>
        </w:rPr>
      </w:pPr>
      <w:r>
        <w:rPr>
          <w:color w:val="000000"/>
          <w:sz w:val="22"/>
          <w:szCs w:val="22"/>
        </w:rPr>
        <w:t>Информация об инициативах Банка в сфере социальной и экологической ответственности раскрывается в его годовых отчетах, на сайте Банка и на его официальных страницах в социальных сетях.</w:t>
      </w:r>
    </w:p>
    <w:p w:rsidR="00773E2C" w:rsidRDefault="00773E2C">
      <w:pPr>
        <w:spacing w:line="259" w:lineRule="auto"/>
        <w:ind w:firstLine="567"/>
        <w:jc w:val="both"/>
        <w:rPr>
          <w:sz w:val="22"/>
          <w:szCs w:val="22"/>
        </w:rPr>
      </w:pPr>
    </w:p>
    <w:p w:rsidR="00773E2C" w:rsidRDefault="00805665">
      <w:pPr>
        <w:keepNext/>
        <w:ind w:firstLine="567"/>
        <w:jc w:val="both"/>
        <w:outlineLvl w:val="1"/>
        <w:rPr>
          <w:b/>
          <w:bCs/>
          <w:sz w:val="22"/>
          <w:szCs w:val="22"/>
        </w:rPr>
      </w:pPr>
      <w:bookmarkStart w:id="36" w:name="_Toc229052204"/>
      <w:r>
        <w:rPr>
          <w:b/>
          <w:bCs/>
          <w:sz w:val="22"/>
          <w:szCs w:val="22"/>
        </w:rPr>
        <w:t>5.1</w:t>
      </w:r>
      <w:r w:rsidR="00BA1417">
        <w:rPr>
          <w:b/>
          <w:bCs/>
          <w:sz w:val="22"/>
          <w:szCs w:val="22"/>
        </w:rPr>
        <w:t>.</w:t>
      </w:r>
      <w:r>
        <w:rPr>
          <w:b/>
          <w:bCs/>
          <w:sz w:val="22"/>
          <w:szCs w:val="22"/>
        </w:rPr>
        <w:t> Экологические аспекты деятельности</w:t>
      </w:r>
      <w:bookmarkEnd w:id="36"/>
    </w:p>
    <w:p w:rsidR="00773E2C" w:rsidRDefault="00773E2C">
      <w:pPr>
        <w:ind w:firstLine="567"/>
        <w:jc w:val="both"/>
        <w:rPr>
          <w:color w:val="000000"/>
          <w:sz w:val="22"/>
        </w:rPr>
      </w:pPr>
    </w:p>
    <w:p w:rsidR="00773E2C" w:rsidRDefault="00805665">
      <w:pPr>
        <w:ind w:firstLine="567"/>
        <w:jc w:val="both"/>
        <w:rPr>
          <w:b/>
          <w:iCs/>
          <w:color w:val="000000"/>
          <w:sz w:val="22"/>
        </w:rPr>
      </w:pPr>
      <w:r>
        <w:rPr>
          <w:b/>
          <w:iCs/>
          <w:color w:val="000000"/>
          <w:sz w:val="22"/>
        </w:rPr>
        <w:t>ЦУР 15 «Сохранение экосистем суши» и ЦУР 14 «Сохранение водных экосистем»</w:t>
      </w:r>
    </w:p>
    <w:p w:rsidR="00773E2C" w:rsidRDefault="00773E2C">
      <w:pPr>
        <w:ind w:firstLine="567"/>
        <w:jc w:val="both"/>
        <w:rPr>
          <w:iCs/>
          <w:color w:val="000000"/>
          <w:sz w:val="22"/>
          <w:szCs w:val="22"/>
        </w:rPr>
      </w:pPr>
    </w:p>
    <w:p w:rsidR="00773E2C" w:rsidRDefault="00805665">
      <w:pPr>
        <w:ind w:firstLine="567"/>
        <w:jc w:val="both"/>
        <w:rPr>
          <w:color w:val="000000"/>
          <w:sz w:val="22"/>
        </w:rPr>
      </w:pPr>
      <w:r>
        <w:rPr>
          <w:color w:val="000000"/>
          <w:sz w:val="22"/>
        </w:rPr>
        <w:t>Одним из самых заметных проектов Банка в 2025 году в сфере защиты окружающей среды стала традиционная прямая онлайн-трансляция с крыши здания уфимского филиала Банка, которая служит местом гнездования занесенных в Красную книгу России и Башкирии соколов-сапсанов. Такие трансляции Банк организует и ведет совместно с башкирским отделением Союза охраны птиц России и инициативной группой проекта «Атлас птиц Уфы» ежегодно, в период появления и взросления птенцов. Регулярные трансляции проводятся с 2019 года, они неизменно набирают большое количество просмотров и получают отклики ученых-орнитологов из разных стран мира. Полученная благодаря трансляциям информация помогает расширять представления о жизни редких птиц в условиях городской среды и может быть использована учеными и природоохранными организациями не только из Уфы, но и из других городов и стран.</w:t>
      </w:r>
    </w:p>
    <w:p w:rsidR="00773E2C" w:rsidRDefault="00805665">
      <w:pPr>
        <w:ind w:firstLine="567"/>
        <w:jc w:val="both"/>
        <w:rPr>
          <w:color w:val="000000"/>
          <w:sz w:val="22"/>
        </w:rPr>
      </w:pPr>
      <w:r>
        <w:rPr>
          <w:color w:val="000000"/>
          <w:sz w:val="22"/>
        </w:rPr>
        <w:t xml:space="preserve">Большое число проектов по сохранению экосистем реализуется Банком в регионах Сибири. Сотрудники Банка приняли участие в городском субботнике в Иркутске, экологическом субботнике «Зеленая весна» в </w:t>
      </w:r>
      <w:proofErr w:type="spellStart"/>
      <w:r>
        <w:rPr>
          <w:color w:val="000000"/>
          <w:sz w:val="22"/>
        </w:rPr>
        <w:t>Кемерове</w:t>
      </w:r>
      <w:proofErr w:type="spellEnd"/>
      <w:r>
        <w:rPr>
          <w:color w:val="000000"/>
          <w:sz w:val="22"/>
        </w:rPr>
        <w:t xml:space="preserve"> и в ежегодной акции по уборке территории Новосибирского зоопарка. В Новосибирске Банк принял участие в масштабной экологической акции «РЫБЕ ЖИТЬ!», в ходе которой в воды реки Оби было выпущено 8000 мальков сазана. Банк является членом Регионального представительства Национального совета по корпоративному </w:t>
      </w:r>
      <w:proofErr w:type="spellStart"/>
      <w:r>
        <w:rPr>
          <w:color w:val="000000"/>
          <w:sz w:val="22"/>
        </w:rPr>
        <w:t>волонтерству</w:t>
      </w:r>
      <w:proofErr w:type="spellEnd"/>
      <w:r>
        <w:rPr>
          <w:color w:val="000000"/>
          <w:sz w:val="22"/>
        </w:rPr>
        <w:t xml:space="preserve"> в Новосибирской области и в 2025 году получил почетную грамоту «За активное участие и поддержку корпоративных добровольческих инициатив на территории Новосибирской области». Новосибирская региональная общественная организация «База реабилитации животных» направила Банку благодарственное письмо за ту помощь, которую сотрудники Банка оказали в проведении волонтерской акции по сбору кормов, медикаментов и других необходимых материалов.</w:t>
      </w:r>
    </w:p>
    <w:p w:rsidR="00773E2C" w:rsidRDefault="00805665">
      <w:pPr>
        <w:ind w:firstLine="567"/>
        <w:jc w:val="both"/>
        <w:rPr>
          <w:color w:val="000000"/>
          <w:sz w:val="22"/>
        </w:rPr>
      </w:pPr>
      <w:r>
        <w:rPr>
          <w:color w:val="000000"/>
          <w:sz w:val="22"/>
        </w:rPr>
        <w:t xml:space="preserve">Для Банка важно не только способствовать защите окружающей среды, но и прививать экологическую осознанность молодежи, укреплять местные сообщества через этот общий для всех интерес. Следуя такому принципу, в 2025 году Банк выступил партнером III Регионального слета школьных лесничеств и детских экологических объединений «Юные друзья окружающего мира» и уже в пятый раз поддержал Международный экологический фестиваль «Будущее </w:t>
      </w:r>
      <w:proofErr w:type="gramStart"/>
      <w:r>
        <w:rPr>
          <w:color w:val="000000"/>
          <w:sz w:val="22"/>
        </w:rPr>
        <w:t>в руках</w:t>
      </w:r>
      <w:proofErr w:type="gramEnd"/>
      <w:r>
        <w:rPr>
          <w:color w:val="000000"/>
          <w:sz w:val="22"/>
        </w:rPr>
        <w:t xml:space="preserve"> живущих». В эко-парке города Обь при финансовой поддержке Банка и при участии его сотрудников-волонтеров произошла закладка «Аллеи педагогов-воспитателей» и «Аллеи защитников Отечества». Благодаря этой эколого-патриотической акции у жителей города появятся особенные места, где можно отдать дань памяти и почувствовать связь между поколениями.</w:t>
      </w:r>
    </w:p>
    <w:p w:rsidR="00773E2C" w:rsidRDefault="00773E2C">
      <w:pPr>
        <w:ind w:firstLine="567"/>
        <w:jc w:val="both"/>
        <w:rPr>
          <w:b/>
          <w:i/>
        </w:rPr>
      </w:pPr>
    </w:p>
    <w:p w:rsidR="00773E2C" w:rsidRDefault="00805665">
      <w:pPr>
        <w:ind w:firstLine="567"/>
        <w:jc w:val="both"/>
        <w:rPr>
          <w:b/>
          <w:iCs/>
          <w:color w:val="000000"/>
          <w:sz w:val="22"/>
        </w:rPr>
      </w:pPr>
      <w:r>
        <w:rPr>
          <w:b/>
          <w:iCs/>
          <w:color w:val="000000"/>
          <w:sz w:val="22"/>
        </w:rPr>
        <w:t>ЦУР 12 «Ответственное потребление и производство»</w:t>
      </w:r>
    </w:p>
    <w:p w:rsidR="00773E2C" w:rsidRDefault="00773E2C">
      <w:pPr>
        <w:ind w:firstLine="567"/>
        <w:jc w:val="both"/>
        <w:rPr>
          <w:color w:val="000000"/>
          <w:sz w:val="22"/>
          <w:szCs w:val="22"/>
        </w:rPr>
      </w:pPr>
    </w:p>
    <w:p w:rsidR="00773E2C" w:rsidRDefault="00805665">
      <w:pPr>
        <w:ind w:firstLine="567"/>
        <w:jc w:val="both"/>
        <w:rPr>
          <w:color w:val="000000"/>
          <w:sz w:val="22"/>
          <w:szCs w:val="22"/>
        </w:rPr>
      </w:pPr>
      <w:r>
        <w:rPr>
          <w:color w:val="000000"/>
          <w:sz w:val="22"/>
        </w:rPr>
        <w:t>Одновременно с реализацией экологических инициатив Банк преследует цель минимизировать негативное воздействие своей деятельности на окружающую среду. Для этого он стремится ограничить объем потребляемых ресурсов, в том числе наращивая долю обслуживаемых в цифровых каналах клиентов, развивая безбумажные процессы и формат «гибкого офиса», в рамках которого сотрудники могут сочетать очную работу (в офисе) с удаленной (дистанционной).</w:t>
      </w:r>
    </w:p>
    <w:p w:rsidR="00773E2C" w:rsidRDefault="00805665">
      <w:pPr>
        <w:ind w:firstLine="567"/>
        <w:jc w:val="both"/>
        <w:rPr>
          <w:color w:val="000000"/>
          <w:sz w:val="22"/>
          <w:szCs w:val="22"/>
        </w:rPr>
      </w:pPr>
      <w:r>
        <w:rPr>
          <w:color w:val="000000"/>
          <w:sz w:val="22"/>
          <w:szCs w:val="22"/>
        </w:rPr>
        <w:t>Сравнительный анализ объема потребления Банком ресурсов за последние три года в натуральном и денежном выражении приведен в таблица 5.1.1.</w:t>
      </w:r>
    </w:p>
    <w:p w:rsidR="00773E2C" w:rsidRDefault="00773E2C">
      <w:pPr>
        <w:ind w:firstLine="567"/>
        <w:jc w:val="both"/>
        <w:rPr>
          <w:b/>
          <w:sz w:val="22"/>
        </w:rPr>
      </w:pPr>
    </w:p>
    <w:p w:rsidR="00773E2C" w:rsidRDefault="00805665">
      <w:pPr>
        <w:ind w:firstLine="567"/>
        <w:jc w:val="both"/>
        <w:rPr>
          <w:b/>
          <w:sz w:val="22"/>
        </w:rPr>
      </w:pPr>
      <w:r>
        <w:rPr>
          <w:rFonts w:eastAsia="Calibri"/>
          <w:b/>
          <w:sz w:val="22"/>
          <w:szCs w:val="22"/>
          <w:lang w:eastAsia="en-US"/>
        </w:rPr>
        <w:lastRenderedPageBreak/>
        <w:t xml:space="preserve">Таблица 5.1.1 </w:t>
      </w:r>
      <w:r>
        <w:rPr>
          <w:b/>
          <w:sz w:val="22"/>
        </w:rPr>
        <w:t>Сравнительный анализ объема потребления Банком ресурсов за последние три года в натуральном и денежном выражении</w:t>
      </w:r>
    </w:p>
    <w:p w:rsidR="00773E2C" w:rsidRDefault="00773E2C">
      <w:pPr>
        <w:ind w:firstLine="567"/>
        <w:jc w:val="both"/>
        <w:rPr>
          <w:color w:val="000000"/>
          <w:sz w:val="22"/>
        </w:rPr>
      </w:pP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1345"/>
        <w:gridCol w:w="1275"/>
        <w:gridCol w:w="1374"/>
        <w:gridCol w:w="1134"/>
        <w:gridCol w:w="1254"/>
        <w:gridCol w:w="1254"/>
      </w:tblGrid>
      <w:tr w:rsidR="00773E2C">
        <w:tc>
          <w:tcPr>
            <w:tcW w:w="1891" w:type="dxa"/>
            <w:vMerge w:val="restart"/>
            <w:shd w:val="clear" w:color="auto" w:fill="auto"/>
            <w:vAlign w:val="center"/>
          </w:tcPr>
          <w:p w:rsidR="00773E2C" w:rsidRDefault="00805665">
            <w:pPr>
              <w:autoSpaceDE w:val="0"/>
              <w:autoSpaceDN w:val="0"/>
              <w:adjustRightInd w:val="0"/>
              <w:jc w:val="center"/>
              <w:rPr>
                <w:rFonts w:eastAsia="Calibri"/>
                <w:b/>
                <w:sz w:val="20"/>
                <w:szCs w:val="20"/>
                <w:lang w:eastAsia="en-US"/>
              </w:rPr>
            </w:pPr>
            <w:r>
              <w:rPr>
                <w:rFonts w:eastAsia="Calibri"/>
                <w:b/>
                <w:bCs/>
                <w:iCs/>
                <w:sz w:val="20"/>
                <w:szCs w:val="20"/>
                <w:lang w:eastAsia="en-US"/>
              </w:rPr>
              <w:t>Вид ресурсов</w:t>
            </w:r>
          </w:p>
        </w:tc>
        <w:tc>
          <w:tcPr>
            <w:tcW w:w="2620" w:type="dxa"/>
            <w:gridSpan w:val="2"/>
            <w:shd w:val="clear" w:color="auto" w:fill="auto"/>
          </w:tcPr>
          <w:p w:rsidR="00773E2C" w:rsidRDefault="00805665">
            <w:pPr>
              <w:autoSpaceDE w:val="0"/>
              <w:autoSpaceDN w:val="0"/>
              <w:adjustRightInd w:val="0"/>
              <w:ind w:firstLine="70"/>
              <w:jc w:val="center"/>
              <w:rPr>
                <w:rFonts w:eastAsia="Calibri"/>
                <w:b/>
                <w:sz w:val="20"/>
                <w:szCs w:val="20"/>
                <w:lang w:eastAsia="en-US"/>
              </w:rPr>
            </w:pPr>
            <w:r>
              <w:rPr>
                <w:rFonts w:eastAsia="Calibri"/>
                <w:b/>
                <w:sz w:val="20"/>
                <w:szCs w:val="20"/>
                <w:lang w:eastAsia="en-US"/>
              </w:rPr>
              <w:t>2023</w:t>
            </w:r>
          </w:p>
        </w:tc>
        <w:tc>
          <w:tcPr>
            <w:tcW w:w="2508" w:type="dxa"/>
            <w:gridSpan w:val="2"/>
          </w:tcPr>
          <w:p w:rsidR="00773E2C" w:rsidRDefault="00805665">
            <w:pPr>
              <w:autoSpaceDE w:val="0"/>
              <w:autoSpaceDN w:val="0"/>
              <w:adjustRightInd w:val="0"/>
              <w:ind w:firstLine="70"/>
              <w:jc w:val="center"/>
              <w:rPr>
                <w:rFonts w:eastAsia="Calibri"/>
                <w:b/>
                <w:sz w:val="20"/>
                <w:szCs w:val="20"/>
                <w:lang w:eastAsia="en-US"/>
              </w:rPr>
            </w:pPr>
            <w:r>
              <w:rPr>
                <w:rFonts w:eastAsia="Calibri"/>
                <w:b/>
                <w:sz w:val="20"/>
                <w:szCs w:val="20"/>
                <w:lang w:eastAsia="en-US"/>
              </w:rPr>
              <w:t>2024</w:t>
            </w:r>
          </w:p>
        </w:tc>
        <w:tc>
          <w:tcPr>
            <w:tcW w:w="2508" w:type="dxa"/>
            <w:gridSpan w:val="2"/>
          </w:tcPr>
          <w:p w:rsidR="00773E2C" w:rsidRDefault="00805665">
            <w:pPr>
              <w:autoSpaceDE w:val="0"/>
              <w:autoSpaceDN w:val="0"/>
              <w:adjustRightInd w:val="0"/>
              <w:ind w:firstLine="70"/>
              <w:jc w:val="center"/>
              <w:rPr>
                <w:rFonts w:eastAsia="Calibri"/>
                <w:b/>
                <w:sz w:val="20"/>
                <w:szCs w:val="20"/>
                <w:lang w:val="en-US" w:eastAsia="en-US"/>
              </w:rPr>
            </w:pPr>
            <w:r>
              <w:rPr>
                <w:rFonts w:eastAsia="Calibri"/>
                <w:b/>
                <w:sz w:val="20"/>
                <w:szCs w:val="20"/>
                <w:lang w:val="en-US" w:eastAsia="en-US"/>
              </w:rPr>
              <w:t>2025</w:t>
            </w:r>
          </w:p>
        </w:tc>
      </w:tr>
      <w:tr w:rsidR="00773E2C">
        <w:tc>
          <w:tcPr>
            <w:tcW w:w="1891" w:type="dxa"/>
            <w:vMerge/>
            <w:shd w:val="clear" w:color="auto" w:fill="auto"/>
          </w:tcPr>
          <w:p w:rsidR="00773E2C" w:rsidRDefault="00773E2C">
            <w:pPr>
              <w:autoSpaceDE w:val="0"/>
              <w:autoSpaceDN w:val="0"/>
              <w:adjustRightInd w:val="0"/>
              <w:ind w:firstLine="567"/>
              <w:jc w:val="center"/>
              <w:rPr>
                <w:rFonts w:eastAsia="Calibri"/>
                <w:b/>
                <w:bCs/>
                <w:iCs/>
                <w:sz w:val="20"/>
                <w:szCs w:val="20"/>
                <w:lang w:eastAsia="en-US"/>
              </w:rPr>
            </w:pPr>
          </w:p>
        </w:tc>
        <w:tc>
          <w:tcPr>
            <w:tcW w:w="1345" w:type="dxa"/>
            <w:shd w:val="clear" w:color="auto" w:fill="auto"/>
            <w:vAlign w:val="center"/>
          </w:tcPr>
          <w:p w:rsidR="00773E2C" w:rsidRDefault="00805665">
            <w:pPr>
              <w:autoSpaceDE w:val="0"/>
              <w:autoSpaceDN w:val="0"/>
              <w:adjustRightInd w:val="0"/>
              <w:ind w:hanging="72"/>
              <w:jc w:val="center"/>
              <w:rPr>
                <w:rFonts w:eastAsia="Calibri"/>
                <w:sz w:val="20"/>
                <w:szCs w:val="20"/>
                <w:lang w:eastAsia="en-US"/>
              </w:rPr>
            </w:pPr>
            <w:r>
              <w:rPr>
                <w:rFonts w:eastAsia="Calibri"/>
                <w:sz w:val="20"/>
                <w:szCs w:val="20"/>
                <w:lang w:eastAsia="en-US"/>
              </w:rPr>
              <w:t>Количество</w:t>
            </w:r>
          </w:p>
        </w:tc>
        <w:tc>
          <w:tcPr>
            <w:tcW w:w="1275" w:type="dxa"/>
            <w:shd w:val="clear" w:color="auto" w:fill="auto"/>
            <w:vAlign w:val="center"/>
          </w:tcPr>
          <w:p w:rsidR="00773E2C" w:rsidRDefault="00805665">
            <w:pPr>
              <w:autoSpaceDE w:val="0"/>
              <w:autoSpaceDN w:val="0"/>
              <w:adjustRightInd w:val="0"/>
              <w:ind w:left="-55" w:right="-52" w:hanging="1"/>
              <w:jc w:val="center"/>
              <w:rPr>
                <w:rFonts w:eastAsia="Calibri"/>
                <w:sz w:val="20"/>
                <w:szCs w:val="20"/>
                <w:lang w:eastAsia="en-US"/>
              </w:rPr>
            </w:pPr>
            <w:r>
              <w:rPr>
                <w:rFonts w:eastAsia="Calibri"/>
                <w:sz w:val="20"/>
                <w:szCs w:val="20"/>
                <w:lang w:eastAsia="en-US"/>
              </w:rPr>
              <w:t>Стоимость, тыс. руб.</w:t>
            </w:r>
          </w:p>
        </w:tc>
        <w:tc>
          <w:tcPr>
            <w:tcW w:w="1374" w:type="dxa"/>
            <w:shd w:val="clear" w:color="auto" w:fill="auto"/>
            <w:vAlign w:val="center"/>
          </w:tcPr>
          <w:p w:rsidR="00773E2C" w:rsidRDefault="00805665">
            <w:pPr>
              <w:autoSpaceDE w:val="0"/>
              <w:autoSpaceDN w:val="0"/>
              <w:adjustRightInd w:val="0"/>
              <w:ind w:hanging="72"/>
              <w:jc w:val="center"/>
              <w:rPr>
                <w:rFonts w:eastAsia="Calibri"/>
                <w:sz w:val="20"/>
                <w:szCs w:val="20"/>
                <w:lang w:eastAsia="en-US"/>
              </w:rPr>
            </w:pPr>
            <w:r>
              <w:rPr>
                <w:rFonts w:eastAsia="Calibri"/>
                <w:sz w:val="20"/>
                <w:szCs w:val="20"/>
                <w:lang w:eastAsia="en-US"/>
              </w:rPr>
              <w:t>Количество</w:t>
            </w:r>
          </w:p>
        </w:tc>
        <w:tc>
          <w:tcPr>
            <w:tcW w:w="1134" w:type="dxa"/>
            <w:tcBorders>
              <w:bottom w:val="single" w:sz="4" w:space="0" w:color="auto"/>
            </w:tcBorders>
            <w:shd w:val="clear" w:color="auto" w:fill="auto"/>
            <w:vAlign w:val="center"/>
          </w:tcPr>
          <w:p w:rsidR="00773E2C" w:rsidRDefault="00805665">
            <w:pPr>
              <w:autoSpaceDE w:val="0"/>
              <w:autoSpaceDN w:val="0"/>
              <w:adjustRightInd w:val="0"/>
              <w:ind w:left="-55" w:right="-52" w:hanging="1"/>
              <w:jc w:val="center"/>
              <w:rPr>
                <w:rFonts w:eastAsia="Calibri"/>
                <w:sz w:val="20"/>
                <w:szCs w:val="20"/>
                <w:lang w:eastAsia="en-US"/>
              </w:rPr>
            </w:pPr>
            <w:r>
              <w:rPr>
                <w:rFonts w:eastAsia="Calibri"/>
                <w:sz w:val="20"/>
                <w:szCs w:val="20"/>
                <w:lang w:eastAsia="en-US"/>
              </w:rPr>
              <w:t>Стоимость, тыс. руб.</w:t>
            </w:r>
          </w:p>
        </w:tc>
        <w:tc>
          <w:tcPr>
            <w:tcW w:w="1254" w:type="dxa"/>
            <w:tcBorders>
              <w:bottom w:val="single" w:sz="4" w:space="0" w:color="auto"/>
            </w:tcBorders>
            <w:vAlign w:val="center"/>
          </w:tcPr>
          <w:p w:rsidR="00773E2C" w:rsidRDefault="00805665">
            <w:pPr>
              <w:autoSpaceDE w:val="0"/>
              <w:autoSpaceDN w:val="0"/>
              <w:adjustRightInd w:val="0"/>
              <w:ind w:hanging="72"/>
              <w:jc w:val="center"/>
              <w:rPr>
                <w:rFonts w:eastAsia="Calibri"/>
                <w:sz w:val="20"/>
                <w:szCs w:val="20"/>
                <w:lang w:eastAsia="en-US"/>
              </w:rPr>
            </w:pPr>
            <w:r>
              <w:rPr>
                <w:rFonts w:eastAsia="Calibri"/>
                <w:sz w:val="20"/>
                <w:szCs w:val="20"/>
                <w:lang w:eastAsia="en-US"/>
              </w:rPr>
              <w:t>Количество</w:t>
            </w:r>
          </w:p>
        </w:tc>
        <w:tc>
          <w:tcPr>
            <w:tcW w:w="1254" w:type="dxa"/>
            <w:tcBorders>
              <w:bottom w:val="single" w:sz="4" w:space="0" w:color="auto"/>
            </w:tcBorders>
            <w:vAlign w:val="center"/>
          </w:tcPr>
          <w:p w:rsidR="00773E2C" w:rsidRDefault="00805665">
            <w:pPr>
              <w:autoSpaceDE w:val="0"/>
              <w:autoSpaceDN w:val="0"/>
              <w:adjustRightInd w:val="0"/>
              <w:ind w:left="-55" w:right="-52" w:hanging="1"/>
              <w:jc w:val="center"/>
              <w:rPr>
                <w:rFonts w:eastAsia="Calibri"/>
                <w:sz w:val="20"/>
                <w:szCs w:val="20"/>
                <w:lang w:eastAsia="en-US"/>
              </w:rPr>
            </w:pPr>
            <w:r>
              <w:rPr>
                <w:rFonts w:eastAsia="Calibri"/>
                <w:sz w:val="20"/>
                <w:szCs w:val="20"/>
                <w:lang w:eastAsia="en-US"/>
              </w:rPr>
              <w:t>Стоимость, тыс. руб.</w:t>
            </w:r>
          </w:p>
        </w:tc>
      </w:tr>
      <w:tr w:rsidR="00773E2C">
        <w:tc>
          <w:tcPr>
            <w:tcW w:w="1891" w:type="dxa"/>
            <w:shd w:val="clear" w:color="auto" w:fill="auto"/>
          </w:tcPr>
          <w:p w:rsidR="00773E2C" w:rsidRDefault="00805665">
            <w:pPr>
              <w:autoSpaceDE w:val="0"/>
              <w:autoSpaceDN w:val="0"/>
              <w:adjustRightInd w:val="0"/>
              <w:ind w:firstLine="14"/>
              <w:rPr>
                <w:rFonts w:eastAsia="Calibri"/>
                <w:sz w:val="20"/>
                <w:szCs w:val="20"/>
                <w:lang w:eastAsia="en-US"/>
              </w:rPr>
            </w:pPr>
            <w:r>
              <w:rPr>
                <w:rFonts w:eastAsia="Calibri"/>
                <w:bCs/>
                <w:iCs/>
                <w:sz w:val="20"/>
                <w:szCs w:val="20"/>
                <w:lang w:eastAsia="en-US"/>
              </w:rPr>
              <w:t>Электрическая энергия, кВт/ч</w:t>
            </w:r>
          </w:p>
        </w:tc>
        <w:tc>
          <w:tcPr>
            <w:tcW w:w="1345" w:type="dxa"/>
            <w:shd w:val="clear" w:color="auto" w:fill="auto"/>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25 425 847</w:t>
            </w:r>
          </w:p>
        </w:tc>
        <w:tc>
          <w:tcPr>
            <w:tcW w:w="1275" w:type="dxa"/>
            <w:shd w:val="clear" w:color="auto" w:fill="auto"/>
            <w:vAlign w:val="center"/>
          </w:tcPr>
          <w:p w:rsidR="00773E2C" w:rsidRDefault="00805665">
            <w:pPr>
              <w:autoSpaceDE w:val="0"/>
              <w:autoSpaceDN w:val="0"/>
              <w:adjustRightInd w:val="0"/>
              <w:jc w:val="center"/>
              <w:rPr>
                <w:rFonts w:eastAsia="Calibri"/>
                <w:sz w:val="20"/>
                <w:szCs w:val="20"/>
                <w:lang w:eastAsia="en-US"/>
              </w:rPr>
            </w:pPr>
            <w:r>
              <w:rPr>
                <w:rFonts w:eastAsia="Times New Roman"/>
                <w:color w:val="000000"/>
                <w:sz w:val="20"/>
                <w:szCs w:val="20"/>
              </w:rPr>
              <w:t>147 216</w:t>
            </w:r>
          </w:p>
        </w:tc>
        <w:tc>
          <w:tcPr>
            <w:tcW w:w="1374" w:type="dxa"/>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26 744 644</w:t>
            </w:r>
          </w:p>
        </w:tc>
        <w:tc>
          <w:tcPr>
            <w:tcW w:w="1134" w:type="dxa"/>
            <w:tcBorders>
              <w:top w:val="nil"/>
              <w:left w:val="single" w:sz="4" w:space="0" w:color="auto"/>
              <w:bottom w:val="single" w:sz="4" w:space="0" w:color="auto"/>
              <w:right w:val="single" w:sz="4" w:space="0" w:color="auto"/>
            </w:tcBorders>
            <w:shd w:val="clear" w:color="auto" w:fill="auto"/>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154 175</w:t>
            </w:r>
          </w:p>
        </w:tc>
        <w:tc>
          <w:tcPr>
            <w:tcW w:w="1254" w:type="dxa"/>
            <w:tcBorders>
              <w:top w:val="nil"/>
              <w:left w:val="single" w:sz="4" w:space="0" w:color="auto"/>
              <w:bottom w:val="single" w:sz="4" w:space="0" w:color="auto"/>
              <w:right w:val="single" w:sz="4" w:space="0" w:color="auto"/>
            </w:tcBorders>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25</w:t>
            </w:r>
            <w:r>
              <w:rPr>
                <w:rFonts w:eastAsia="Calibri"/>
                <w:sz w:val="20"/>
                <w:szCs w:val="20"/>
                <w:lang w:val="en-US" w:eastAsia="en-US"/>
              </w:rPr>
              <w:t xml:space="preserve"> </w:t>
            </w:r>
            <w:r>
              <w:rPr>
                <w:rFonts w:eastAsia="Calibri"/>
                <w:sz w:val="20"/>
                <w:szCs w:val="20"/>
                <w:lang w:eastAsia="en-US"/>
              </w:rPr>
              <w:t>428</w:t>
            </w:r>
            <w:r>
              <w:rPr>
                <w:rFonts w:eastAsia="Calibri"/>
                <w:sz w:val="20"/>
                <w:szCs w:val="20"/>
                <w:lang w:val="en-US" w:eastAsia="en-US"/>
              </w:rPr>
              <w:t xml:space="preserve"> </w:t>
            </w:r>
            <w:r>
              <w:rPr>
                <w:rFonts w:eastAsia="Calibri"/>
                <w:sz w:val="20"/>
                <w:szCs w:val="20"/>
                <w:lang w:eastAsia="en-US"/>
              </w:rPr>
              <w:t>860</w:t>
            </w:r>
          </w:p>
        </w:tc>
        <w:tc>
          <w:tcPr>
            <w:tcW w:w="1254" w:type="dxa"/>
            <w:tcBorders>
              <w:top w:val="nil"/>
              <w:left w:val="single" w:sz="4" w:space="0" w:color="auto"/>
              <w:bottom w:val="single" w:sz="4" w:space="0" w:color="auto"/>
              <w:right w:val="single" w:sz="4" w:space="0" w:color="auto"/>
            </w:tcBorders>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149</w:t>
            </w:r>
            <w:r>
              <w:rPr>
                <w:rFonts w:eastAsia="Calibri"/>
                <w:sz w:val="20"/>
                <w:szCs w:val="20"/>
                <w:lang w:val="en-US" w:eastAsia="en-US"/>
              </w:rPr>
              <w:t xml:space="preserve"> </w:t>
            </w:r>
            <w:r>
              <w:rPr>
                <w:rFonts w:eastAsia="Calibri"/>
                <w:sz w:val="20"/>
                <w:szCs w:val="20"/>
                <w:lang w:eastAsia="en-US"/>
              </w:rPr>
              <w:t>969</w:t>
            </w:r>
          </w:p>
        </w:tc>
      </w:tr>
      <w:tr w:rsidR="00773E2C">
        <w:tc>
          <w:tcPr>
            <w:tcW w:w="1891" w:type="dxa"/>
            <w:shd w:val="clear" w:color="auto" w:fill="auto"/>
          </w:tcPr>
          <w:p w:rsidR="00773E2C" w:rsidRDefault="00805665">
            <w:pPr>
              <w:autoSpaceDE w:val="0"/>
              <w:autoSpaceDN w:val="0"/>
              <w:adjustRightInd w:val="0"/>
              <w:ind w:firstLine="14"/>
              <w:rPr>
                <w:rFonts w:eastAsia="Calibri"/>
                <w:bCs/>
                <w:iCs/>
                <w:sz w:val="20"/>
                <w:szCs w:val="20"/>
                <w:lang w:eastAsia="en-US"/>
              </w:rPr>
            </w:pPr>
            <w:r>
              <w:rPr>
                <w:rFonts w:eastAsia="Calibri"/>
                <w:bCs/>
                <w:iCs/>
                <w:sz w:val="20"/>
                <w:szCs w:val="20"/>
                <w:lang w:eastAsia="en-US"/>
              </w:rPr>
              <w:t>Бензин автомобильный, л</w:t>
            </w:r>
          </w:p>
        </w:tc>
        <w:tc>
          <w:tcPr>
            <w:tcW w:w="1345" w:type="dxa"/>
            <w:shd w:val="clear" w:color="auto" w:fill="auto"/>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254 596</w:t>
            </w:r>
          </w:p>
        </w:tc>
        <w:tc>
          <w:tcPr>
            <w:tcW w:w="1275" w:type="dxa"/>
            <w:shd w:val="clear" w:color="auto" w:fill="auto"/>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11 945</w:t>
            </w:r>
          </w:p>
        </w:tc>
        <w:tc>
          <w:tcPr>
            <w:tcW w:w="1374" w:type="dxa"/>
            <w:shd w:val="clear" w:color="auto" w:fill="auto"/>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239 032</w:t>
            </w:r>
          </w:p>
        </w:tc>
        <w:tc>
          <w:tcPr>
            <w:tcW w:w="1134" w:type="dxa"/>
            <w:tcBorders>
              <w:top w:val="nil"/>
              <w:left w:val="nil"/>
              <w:bottom w:val="single" w:sz="4" w:space="0" w:color="auto"/>
              <w:right w:val="single" w:sz="4" w:space="0" w:color="auto"/>
            </w:tcBorders>
            <w:shd w:val="clear" w:color="auto" w:fill="auto"/>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11 706</w:t>
            </w:r>
          </w:p>
        </w:tc>
        <w:tc>
          <w:tcPr>
            <w:tcW w:w="1254" w:type="dxa"/>
            <w:tcBorders>
              <w:top w:val="nil"/>
              <w:left w:val="nil"/>
              <w:bottom w:val="single" w:sz="4" w:space="0" w:color="auto"/>
              <w:right w:val="single" w:sz="4" w:space="0" w:color="auto"/>
            </w:tcBorders>
            <w:vAlign w:val="center"/>
          </w:tcPr>
          <w:p w:rsidR="00773E2C" w:rsidRDefault="00805665">
            <w:pPr>
              <w:autoSpaceDE w:val="0"/>
              <w:autoSpaceDN w:val="0"/>
              <w:adjustRightInd w:val="0"/>
              <w:jc w:val="center"/>
              <w:rPr>
                <w:rFonts w:eastAsia="Calibri"/>
                <w:sz w:val="20"/>
                <w:szCs w:val="20"/>
                <w:lang w:val="en-US" w:eastAsia="en-US"/>
              </w:rPr>
            </w:pPr>
            <w:r>
              <w:rPr>
                <w:rFonts w:eastAsia="Calibri"/>
                <w:sz w:val="20"/>
                <w:szCs w:val="20"/>
                <w:lang w:val="en-US" w:eastAsia="en-US"/>
              </w:rPr>
              <w:t>237 012</w:t>
            </w:r>
          </w:p>
        </w:tc>
        <w:tc>
          <w:tcPr>
            <w:tcW w:w="1254" w:type="dxa"/>
            <w:tcBorders>
              <w:top w:val="nil"/>
              <w:left w:val="nil"/>
              <w:bottom w:val="single" w:sz="4" w:space="0" w:color="auto"/>
              <w:right w:val="single" w:sz="4" w:space="0" w:color="auto"/>
            </w:tcBorders>
            <w:vAlign w:val="center"/>
          </w:tcPr>
          <w:p w:rsidR="00773E2C" w:rsidRDefault="00805665">
            <w:pPr>
              <w:autoSpaceDE w:val="0"/>
              <w:autoSpaceDN w:val="0"/>
              <w:adjustRightInd w:val="0"/>
              <w:jc w:val="center"/>
              <w:rPr>
                <w:rFonts w:eastAsia="Calibri"/>
                <w:sz w:val="20"/>
                <w:szCs w:val="20"/>
                <w:lang w:val="en-US" w:eastAsia="en-US"/>
              </w:rPr>
            </w:pPr>
            <w:r>
              <w:rPr>
                <w:rFonts w:eastAsia="Calibri"/>
                <w:sz w:val="20"/>
                <w:szCs w:val="20"/>
                <w:lang w:val="en-US" w:eastAsia="en-US"/>
              </w:rPr>
              <w:t>11 694</w:t>
            </w:r>
          </w:p>
        </w:tc>
      </w:tr>
      <w:tr w:rsidR="00773E2C">
        <w:tc>
          <w:tcPr>
            <w:tcW w:w="1891" w:type="dxa"/>
            <w:shd w:val="clear" w:color="auto" w:fill="auto"/>
          </w:tcPr>
          <w:p w:rsidR="00773E2C" w:rsidRDefault="00805665">
            <w:pPr>
              <w:autoSpaceDE w:val="0"/>
              <w:autoSpaceDN w:val="0"/>
              <w:adjustRightInd w:val="0"/>
              <w:ind w:firstLine="14"/>
              <w:rPr>
                <w:rFonts w:eastAsia="Calibri"/>
                <w:bCs/>
                <w:iCs/>
                <w:sz w:val="20"/>
                <w:szCs w:val="20"/>
                <w:lang w:eastAsia="en-US"/>
              </w:rPr>
            </w:pPr>
            <w:r>
              <w:rPr>
                <w:rFonts w:eastAsia="Calibri"/>
                <w:bCs/>
                <w:iCs/>
                <w:sz w:val="20"/>
                <w:szCs w:val="20"/>
                <w:lang w:eastAsia="en-US"/>
              </w:rPr>
              <w:t>Топливо дизельное, л</w:t>
            </w:r>
          </w:p>
        </w:tc>
        <w:tc>
          <w:tcPr>
            <w:tcW w:w="1345" w:type="dxa"/>
            <w:shd w:val="clear" w:color="auto" w:fill="auto"/>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115 139</w:t>
            </w:r>
          </w:p>
        </w:tc>
        <w:tc>
          <w:tcPr>
            <w:tcW w:w="1275" w:type="dxa"/>
            <w:shd w:val="clear" w:color="auto" w:fill="auto"/>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6 504</w:t>
            </w:r>
          </w:p>
        </w:tc>
        <w:tc>
          <w:tcPr>
            <w:tcW w:w="1374" w:type="dxa"/>
            <w:shd w:val="clear" w:color="auto" w:fill="auto"/>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107 884</w:t>
            </w:r>
          </w:p>
        </w:tc>
        <w:tc>
          <w:tcPr>
            <w:tcW w:w="1134" w:type="dxa"/>
            <w:tcBorders>
              <w:top w:val="nil"/>
              <w:left w:val="nil"/>
              <w:bottom w:val="single" w:sz="4" w:space="0" w:color="auto"/>
              <w:right w:val="single" w:sz="4" w:space="0" w:color="auto"/>
            </w:tcBorders>
            <w:shd w:val="clear" w:color="auto" w:fill="auto"/>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6 681</w:t>
            </w:r>
          </w:p>
        </w:tc>
        <w:tc>
          <w:tcPr>
            <w:tcW w:w="1254" w:type="dxa"/>
            <w:tcBorders>
              <w:top w:val="nil"/>
              <w:left w:val="nil"/>
              <w:bottom w:val="single" w:sz="4" w:space="0" w:color="auto"/>
              <w:right w:val="single" w:sz="4" w:space="0" w:color="auto"/>
            </w:tcBorders>
            <w:vAlign w:val="center"/>
          </w:tcPr>
          <w:p w:rsidR="00773E2C" w:rsidRDefault="00805665">
            <w:pPr>
              <w:autoSpaceDE w:val="0"/>
              <w:autoSpaceDN w:val="0"/>
              <w:adjustRightInd w:val="0"/>
              <w:jc w:val="center"/>
              <w:rPr>
                <w:rFonts w:eastAsia="Calibri"/>
                <w:sz w:val="20"/>
                <w:szCs w:val="20"/>
                <w:lang w:val="en-US" w:eastAsia="en-US"/>
              </w:rPr>
            </w:pPr>
            <w:r>
              <w:rPr>
                <w:rFonts w:eastAsia="Calibri"/>
                <w:sz w:val="20"/>
                <w:szCs w:val="20"/>
                <w:lang w:val="en-US" w:eastAsia="en-US"/>
              </w:rPr>
              <w:t>86 362</w:t>
            </w:r>
          </w:p>
        </w:tc>
        <w:tc>
          <w:tcPr>
            <w:tcW w:w="1254" w:type="dxa"/>
            <w:tcBorders>
              <w:top w:val="nil"/>
              <w:left w:val="nil"/>
              <w:bottom w:val="single" w:sz="4" w:space="0" w:color="auto"/>
              <w:right w:val="single" w:sz="4" w:space="0" w:color="auto"/>
            </w:tcBorders>
            <w:vAlign w:val="center"/>
          </w:tcPr>
          <w:p w:rsidR="00773E2C" w:rsidRDefault="00805665">
            <w:pPr>
              <w:autoSpaceDE w:val="0"/>
              <w:autoSpaceDN w:val="0"/>
              <w:adjustRightInd w:val="0"/>
              <w:jc w:val="center"/>
              <w:rPr>
                <w:rFonts w:eastAsia="Calibri"/>
                <w:sz w:val="20"/>
                <w:szCs w:val="20"/>
                <w:lang w:val="en-US" w:eastAsia="en-US"/>
              </w:rPr>
            </w:pPr>
            <w:r>
              <w:rPr>
                <w:rFonts w:eastAsia="Calibri"/>
                <w:sz w:val="20"/>
                <w:szCs w:val="20"/>
                <w:lang w:val="en-US" w:eastAsia="en-US"/>
              </w:rPr>
              <w:t>4 888</w:t>
            </w:r>
          </w:p>
        </w:tc>
      </w:tr>
      <w:tr w:rsidR="00773E2C">
        <w:tc>
          <w:tcPr>
            <w:tcW w:w="1891" w:type="dxa"/>
            <w:shd w:val="clear" w:color="auto" w:fill="auto"/>
          </w:tcPr>
          <w:p w:rsidR="00773E2C" w:rsidRDefault="00805665">
            <w:pPr>
              <w:autoSpaceDE w:val="0"/>
              <w:autoSpaceDN w:val="0"/>
              <w:adjustRightInd w:val="0"/>
              <w:ind w:firstLine="14"/>
              <w:rPr>
                <w:rFonts w:eastAsia="Calibri"/>
                <w:bCs/>
                <w:iCs/>
                <w:sz w:val="20"/>
                <w:szCs w:val="20"/>
                <w:lang w:eastAsia="en-US"/>
              </w:rPr>
            </w:pPr>
            <w:r>
              <w:rPr>
                <w:rFonts w:eastAsia="Calibri"/>
                <w:bCs/>
                <w:iCs/>
                <w:sz w:val="20"/>
                <w:szCs w:val="20"/>
                <w:lang w:eastAsia="en-US"/>
              </w:rPr>
              <w:t>Тепловая энергия, Гкал</w:t>
            </w:r>
          </w:p>
        </w:tc>
        <w:tc>
          <w:tcPr>
            <w:tcW w:w="1345" w:type="dxa"/>
            <w:shd w:val="clear" w:color="auto" w:fill="auto"/>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22 708</w:t>
            </w:r>
          </w:p>
        </w:tc>
        <w:tc>
          <w:tcPr>
            <w:tcW w:w="1275" w:type="dxa"/>
            <w:shd w:val="clear" w:color="auto" w:fill="auto"/>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55 942</w:t>
            </w:r>
          </w:p>
        </w:tc>
        <w:tc>
          <w:tcPr>
            <w:tcW w:w="1374" w:type="dxa"/>
            <w:shd w:val="clear" w:color="auto" w:fill="auto"/>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24 574</w:t>
            </w:r>
          </w:p>
        </w:tc>
        <w:tc>
          <w:tcPr>
            <w:tcW w:w="1134" w:type="dxa"/>
            <w:tcBorders>
              <w:top w:val="nil"/>
              <w:left w:val="nil"/>
              <w:bottom w:val="single" w:sz="4" w:space="0" w:color="auto"/>
              <w:right w:val="single" w:sz="4" w:space="0" w:color="auto"/>
            </w:tcBorders>
            <w:shd w:val="clear" w:color="auto" w:fill="auto"/>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61 838</w:t>
            </w:r>
          </w:p>
        </w:tc>
        <w:tc>
          <w:tcPr>
            <w:tcW w:w="1254" w:type="dxa"/>
            <w:tcBorders>
              <w:top w:val="nil"/>
              <w:left w:val="nil"/>
              <w:bottom w:val="single" w:sz="4" w:space="0" w:color="auto"/>
              <w:right w:val="single" w:sz="4" w:space="0" w:color="auto"/>
            </w:tcBorders>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23</w:t>
            </w:r>
            <w:r>
              <w:rPr>
                <w:rFonts w:eastAsia="Calibri"/>
                <w:sz w:val="20"/>
                <w:szCs w:val="20"/>
                <w:lang w:val="en-US" w:eastAsia="en-US"/>
              </w:rPr>
              <w:t xml:space="preserve"> </w:t>
            </w:r>
            <w:r>
              <w:rPr>
                <w:rFonts w:eastAsia="Calibri"/>
                <w:sz w:val="20"/>
                <w:szCs w:val="20"/>
                <w:lang w:eastAsia="en-US"/>
              </w:rPr>
              <w:t>910</w:t>
            </w:r>
          </w:p>
        </w:tc>
        <w:tc>
          <w:tcPr>
            <w:tcW w:w="1254" w:type="dxa"/>
            <w:tcBorders>
              <w:top w:val="nil"/>
              <w:left w:val="nil"/>
              <w:bottom w:val="single" w:sz="4" w:space="0" w:color="auto"/>
              <w:right w:val="single" w:sz="4" w:space="0" w:color="auto"/>
            </w:tcBorders>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63</w:t>
            </w:r>
            <w:r>
              <w:rPr>
                <w:rFonts w:eastAsia="Calibri"/>
                <w:sz w:val="20"/>
                <w:szCs w:val="20"/>
                <w:lang w:val="en-US" w:eastAsia="en-US"/>
              </w:rPr>
              <w:t xml:space="preserve"> </w:t>
            </w:r>
            <w:r>
              <w:rPr>
                <w:rFonts w:eastAsia="Calibri"/>
                <w:sz w:val="20"/>
                <w:szCs w:val="20"/>
                <w:lang w:eastAsia="en-US"/>
              </w:rPr>
              <w:t>375</w:t>
            </w:r>
          </w:p>
        </w:tc>
      </w:tr>
      <w:tr w:rsidR="00773E2C">
        <w:tc>
          <w:tcPr>
            <w:tcW w:w="1891" w:type="dxa"/>
            <w:shd w:val="clear" w:color="auto" w:fill="auto"/>
          </w:tcPr>
          <w:p w:rsidR="00773E2C" w:rsidRDefault="00805665">
            <w:pPr>
              <w:autoSpaceDE w:val="0"/>
              <w:autoSpaceDN w:val="0"/>
              <w:adjustRightInd w:val="0"/>
              <w:ind w:firstLine="14"/>
              <w:rPr>
                <w:rFonts w:eastAsia="Calibri"/>
                <w:bCs/>
                <w:iCs/>
                <w:sz w:val="20"/>
                <w:szCs w:val="20"/>
                <w:lang w:eastAsia="en-US"/>
              </w:rPr>
            </w:pPr>
            <w:r>
              <w:rPr>
                <w:rFonts w:eastAsia="Calibri"/>
                <w:bCs/>
                <w:iCs/>
                <w:sz w:val="20"/>
                <w:szCs w:val="20"/>
                <w:lang w:eastAsia="en-US"/>
              </w:rPr>
              <w:t>Газ природный, куб. м</w:t>
            </w:r>
          </w:p>
        </w:tc>
        <w:tc>
          <w:tcPr>
            <w:tcW w:w="1345" w:type="dxa"/>
            <w:shd w:val="clear" w:color="auto" w:fill="auto"/>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290 404</w:t>
            </w:r>
          </w:p>
        </w:tc>
        <w:tc>
          <w:tcPr>
            <w:tcW w:w="1275" w:type="dxa"/>
            <w:shd w:val="clear" w:color="auto" w:fill="auto"/>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1 850</w:t>
            </w:r>
          </w:p>
        </w:tc>
        <w:tc>
          <w:tcPr>
            <w:tcW w:w="1374" w:type="dxa"/>
            <w:shd w:val="clear" w:color="auto" w:fill="auto"/>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325 548</w:t>
            </w:r>
          </w:p>
        </w:tc>
        <w:tc>
          <w:tcPr>
            <w:tcW w:w="1134" w:type="dxa"/>
            <w:tcBorders>
              <w:top w:val="nil"/>
              <w:left w:val="nil"/>
              <w:bottom w:val="single" w:sz="4" w:space="0" w:color="auto"/>
              <w:right w:val="single" w:sz="4" w:space="0" w:color="auto"/>
            </w:tcBorders>
            <w:shd w:val="clear" w:color="auto" w:fill="auto"/>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2 150</w:t>
            </w:r>
          </w:p>
        </w:tc>
        <w:tc>
          <w:tcPr>
            <w:tcW w:w="1254" w:type="dxa"/>
            <w:tcBorders>
              <w:top w:val="nil"/>
              <w:left w:val="nil"/>
              <w:bottom w:val="single" w:sz="4" w:space="0" w:color="auto"/>
              <w:right w:val="single" w:sz="4" w:space="0" w:color="auto"/>
            </w:tcBorders>
            <w:vAlign w:val="center"/>
          </w:tcPr>
          <w:p w:rsidR="00773E2C" w:rsidRDefault="00805665">
            <w:pPr>
              <w:autoSpaceDE w:val="0"/>
              <w:autoSpaceDN w:val="0"/>
              <w:adjustRightInd w:val="0"/>
              <w:jc w:val="center"/>
              <w:rPr>
                <w:rFonts w:eastAsia="Calibri"/>
                <w:sz w:val="20"/>
                <w:szCs w:val="20"/>
                <w:lang w:val="en-US" w:eastAsia="en-US"/>
              </w:rPr>
            </w:pPr>
            <w:r>
              <w:rPr>
                <w:rFonts w:eastAsia="Calibri"/>
                <w:sz w:val="20"/>
                <w:szCs w:val="20"/>
                <w:lang w:val="en-US" w:eastAsia="en-US"/>
              </w:rPr>
              <w:t>260 777</w:t>
            </w:r>
          </w:p>
        </w:tc>
        <w:tc>
          <w:tcPr>
            <w:tcW w:w="1254" w:type="dxa"/>
            <w:tcBorders>
              <w:top w:val="nil"/>
              <w:left w:val="nil"/>
              <w:bottom w:val="single" w:sz="4" w:space="0" w:color="auto"/>
              <w:right w:val="single" w:sz="4" w:space="0" w:color="auto"/>
            </w:tcBorders>
            <w:vAlign w:val="center"/>
          </w:tcPr>
          <w:p w:rsidR="00773E2C" w:rsidRDefault="00805665">
            <w:pPr>
              <w:autoSpaceDE w:val="0"/>
              <w:autoSpaceDN w:val="0"/>
              <w:adjustRightInd w:val="0"/>
              <w:jc w:val="center"/>
              <w:rPr>
                <w:rFonts w:eastAsia="Calibri"/>
                <w:sz w:val="20"/>
                <w:szCs w:val="20"/>
                <w:lang w:val="en-US" w:eastAsia="en-US"/>
              </w:rPr>
            </w:pPr>
            <w:r>
              <w:rPr>
                <w:rFonts w:eastAsia="Calibri"/>
                <w:sz w:val="20"/>
                <w:szCs w:val="20"/>
                <w:lang w:val="en-US" w:eastAsia="en-US"/>
              </w:rPr>
              <w:t>1 774</w:t>
            </w:r>
          </w:p>
        </w:tc>
      </w:tr>
      <w:tr w:rsidR="00773E2C">
        <w:tc>
          <w:tcPr>
            <w:tcW w:w="1891" w:type="dxa"/>
            <w:shd w:val="clear" w:color="auto" w:fill="auto"/>
          </w:tcPr>
          <w:p w:rsidR="00773E2C" w:rsidRDefault="00805665">
            <w:pPr>
              <w:autoSpaceDE w:val="0"/>
              <w:autoSpaceDN w:val="0"/>
              <w:adjustRightInd w:val="0"/>
              <w:ind w:firstLine="14"/>
              <w:rPr>
                <w:rFonts w:eastAsia="Calibri"/>
                <w:bCs/>
                <w:iCs/>
                <w:sz w:val="20"/>
                <w:szCs w:val="20"/>
                <w:lang w:eastAsia="en-US"/>
              </w:rPr>
            </w:pPr>
            <w:r>
              <w:rPr>
                <w:rFonts w:eastAsia="Calibri"/>
                <w:bCs/>
                <w:iCs/>
                <w:sz w:val="20"/>
                <w:szCs w:val="20"/>
                <w:lang w:eastAsia="en-US"/>
              </w:rPr>
              <w:t>Уголь природный, т</w:t>
            </w:r>
          </w:p>
        </w:tc>
        <w:tc>
          <w:tcPr>
            <w:tcW w:w="1345" w:type="dxa"/>
            <w:shd w:val="clear" w:color="auto" w:fill="auto"/>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0</w:t>
            </w:r>
          </w:p>
        </w:tc>
        <w:tc>
          <w:tcPr>
            <w:tcW w:w="1275" w:type="dxa"/>
            <w:shd w:val="clear" w:color="auto" w:fill="auto"/>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0</w:t>
            </w:r>
          </w:p>
        </w:tc>
        <w:tc>
          <w:tcPr>
            <w:tcW w:w="1374" w:type="dxa"/>
            <w:shd w:val="clear" w:color="auto" w:fill="auto"/>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0</w:t>
            </w:r>
          </w:p>
        </w:tc>
        <w:tc>
          <w:tcPr>
            <w:tcW w:w="1134" w:type="dxa"/>
            <w:tcBorders>
              <w:top w:val="nil"/>
              <w:left w:val="nil"/>
              <w:bottom w:val="single" w:sz="4" w:space="0" w:color="auto"/>
              <w:right w:val="single" w:sz="4" w:space="0" w:color="auto"/>
            </w:tcBorders>
            <w:shd w:val="clear" w:color="auto" w:fill="auto"/>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0</w:t>
            </w:r>
          </w:p>
        </w:tc>
        <w:tc>
          <w:tcPr>
            <w:tcW w:w="1254" w:type="dxa"/>
            <w:tcBorders>
              <w:top w:val="nil"/>
              <w:left w:val="nil"/>
              <w:bottom w:val="single" w:sz="4" w:space="0" w:color="auto"/>
              <w:right w:val="single" w:sz="4" w:space="0" w:color="auto"/>
            </w:tcBorders>
            <w:vAlign w:val="center"/>
          </w:tcPr>
          <w:p w:rsidR="00773E2C" w:rsidRDefault="00805665">
            <w:pPr>
              <w:autoSpaceDE w:val="0"/>
              <w:autoSpaceDN w:val="0"/>
              <w:adjustRightInd w:val="0"/>
              <w:jc w:val="center"/>
              <w:rPr>
                <w:rFonts w:eastAsia="Calibri"/>
                <w:sz w:val="20"/>
                <w:szCs w:val="20"/>
                <w:lang w:val="en-US" w:eastAsia="en-US"/>
              </w:rPr>
            </w:pPr>
            <w:r>
              <w:rPr>
                <w:rFonts w:eastAsia="Calibri"/>
                <w:sz w:val="20"/>
                <w:szCs w:val="20"/>
                <w:lang w:val="en-US" w:eastAsia="en-US"/>
              </w:rPr>
              <w:t>0</w:t>
            </w:r>
          </w:p>
        </w:tc>
        <w:tc>
          <w:tcPr>
            <w:tcW w:w="1254" w:type="dxa"/>
            <w:tcBorders>
              <w:top w:val="nil"/>
              <w:left w:val="nil"/>
              <w:bottom w:val="single" w:sz="4" w:space="0" w:color="auto"/>
              <w:right w:val="single" w:sz="4" w:space="0" w:color="auto"/>
            </w:tcBorders>
            <w:vAlign w:val="center"/>
          </w:tcPr>
          <w:p w:rsidR="00773E2C" w:rsidRDefault="00805665">
            <w:pPr>
              <w:autoSpaceDE w:val="0"/>
              <w:autoSpaceDN w:val="0"/>
              <w:adjustRightInd w:val="0"/>
              <w:jc w:val="center"/>
              <w:rPr>
                <w:rFonts w:eastAsia="Calibri"/>
                <w:sz w:val="20"/>
                <w:szCs w:val="20"/>
                <w:lang w:val="en-US" w:eastAsia="en-US"/>
              </w:rPr>
            </w:pPr>
            <w:r>
              <w:rPr>
                <w:rFonts w:eastAsia="Calibri"/>
                <w:sz w:val="20"/>
                <w:szCs w:val="20"/>
                <w:lang w:val="en-US" w:eastAsia="en-US"/>
              </w:rPr>
              <w:t>0</w:t>
            </w:r>
          </w:p>
        </w:tc>
      </w:tr>
      <w:tr w:rsidR="00773E2C">
        <w:tc>
          <w:tcPr>
            <w:tcW w:w="1891" w:type="dxa"/>
            <w:shd w:val="clear" w:color="auto" w:fill="auto"/>
            <w:vAlign w:val="center"/>
          </w:tcPr>
          <w:p w:rsidR="00773E2C" w:rsidRDefault="00805665">
            <w:pPr>
              <w:autoSpaceDE w:val="0"/>
              <w:autoSpaceDN w:val="0"/>
              <w:adjustRightInd w:val="0"/>
              <w:ind w:firstLine="14"/>
              <w:rPr>
                <w:rFonts w:eastAsia="Calibri"/>
                <w:bCs/>
                <w:iCs/>
                <w:sz w:val="20"/>
                <w:szCs w:val="20"/>
                <w:lang w:eastAsia="en-US"/>
              </w:rPr>
            </w:pPr>
            <w:r>
              <w:rPr>
                <w:rFonts w:eastAsia="Calibri"/>
                <w:bCs/>
                <w:iCs/>
                <w:sz w:val="20"/>
                <w:szCs w:val="20"/>
                <w:lang w:eastAsia="en-US"/>
              </w:rPr>
              <w:t>Офисная бумага, пачек</w:t>
            </w:r>
          </w:p>
        </w:tc>
        <w:tc>
          <w:tcPr>
            <w:tcW w:w="1345" w:type="dxa"/>
            <w:shd w:val="clear" w:color="auto" w:fill="auto"/>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70 505</w:t>
            </w:r>
          </w:p>
        </w:tc>
        <w:tc>
          <w:tcPr>
            <w:tcW w:w="1275" w:type="dxa"/>
            <w:shd w:val="clear" w:color="auto" w:fill="auto"/>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18 160</w:t>
            </w:r>
          </w:p>
        </w:tc>
        <w:tc>
          <w:tcPr>
            <w:tcW w:w="1374" w:type="dxa"/>
            <w:shd w:val="clear" w:color="auto" w:fill="auto"/>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68 104</w:t>
            </w:r>
          </w:p>
        </w:tc>
        <w:tc>
          <w:tcPr>
            <w:tcW w:w="1134" w:type="dxa"/>
            <w:tcBorders>
              <w:top w:val="nil"/>
              <w:left w:val="nil"/>
              <w:bottom w:val="single" w:sz="4" w:space="0" w:color="auto"/>
              <w:right w:val="single" w:sz="4" w:space="0" w:color="auto"/>
            </w:tcBorders>
            <w:shd w:val="clear" w:color="auto" w:fill="auto"/>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16 115</w:t>
            </w:r>
          </w:p>
        </w:tc>
        <w:tc>
          <w:tcPr>
            <w:tcW w:w="1254" w:type="dxa"/>
            <w:tcBorders>
              <w:top w:val="nil"/>
              <w:left w:val="nil"/>
              <w:bottom w:val="single" w:sz="4" w:space="0" w:color="auto"/>
              <w:right w:val="single" w:sz="4" w:space="0" w:color="auto"/>
            </w:tcBorders>
            <w:vAlign w:val="center"/>
          </w:tcPr>
          <w:p w:rsidR="00773E2C" w:rsidRDefault="00805665">
            <w:pPr>
              <w:autoSpaceDE w:val="0"/>
              <w:autoSpaceDN w:val="0"/>
              <w:adjustRightInd w:val="0"/>
              <w:jc w:val="center"/>
              <w:rPr>
                <w:rFonts w:eastAsia="Calibri"/>
                <w:sz w:val="20"/>
                <w:szCs w:val="20"/>
                <w:lang w:val="en-US" w:eastAsia="en-US"/>
              </w:rPr>
            </w:pPr>
            <w:r>
              <w:rPr>
                <w:rFonts w:eastAsia="Calibri"/>
                <w:sz w:val="20"/>
                <w:szCs w:val="20"/>
                <w:lang w:val="en-US" w:eastAsia="en-US"/>
              </w:rPr>
              <w:t>55 444</w:t>
            </w:r>
          </w:p>
        </w:tc>
        <w:tc>
          <w:tcPr>
            <w:tcW w:w="1254" w:type="dxa"/>
            <w:tcBorders>
              <w:top w:val="nil"/>
              <w:left w:val="nil"/>
              <w:bottom w:val="single" w:sz="4" w:space="0" w:color="auto"/>
              <w:right w:val="single" w:sz="4" w:space="0" w:color="auto"/>
            </w:tcBorders>
            <w:vAlign w:val="center"/>
          </w:tcPr>
          <w:p w:rsidR="00773E2C" w:rsidRDefault="00805665">
            <w:pPr>
              <w:autoSpaceDE w:val="0"/>
              <w:autoSpaceDN w:val="0"/>
              <w:adjustRightInd w:val="0"/>
              <w:jc w:val="center"/>
              <w:rPr>
                <w:rFonts w:eastAsia="Calibri"/>
                <w:sz w:val="20"/>
                <w:szCs w:val="20"/>
                <w:lang w:val="en-US" w:eastAsia="en-US"/>
              </w:rPr>
            </w:pPr>
            <w:r>
              <w:rPr>
                <w:rFonts w:eastAsia="Calibri"/>
                <w:sz w:val="20"/>
                <w:szCs w:val="20"/>
                <w:lang w:val="en-US" w:eastAsia="en-US"/>
              </w:rPr>
              <w:t>14 381</w:t>
            </w:r>
          </w:p>
        </w:tc>
      </w:tr>
      <w:tr w:rsidR="00773E2C">
        <w:trPr>
          <w:trHeight w:val="104"/>
        </w:trPr>
        <w:tc>
          <w:tcPr>
            <w:tcW w:w="1891" w:type="dxa"/>
            <w:shd w:val="clear" w:color="auto" w:fill="auto"/>
            <w:vAlign w:val="center"/>
          </w:tcPr>
          <w:p w:rsidR="00773E2C" w:rsidRDefault="00805665">
            <w:pPr>
              <w:autoSpaceDE w:val="0"/>
              <w:autoSpaceDN w:val="0"/>
              <w:adjustRightInd w:val="0"/>
              <w:ind w:firstLine="14"/>
              <w:rPr>
                <w:rFonts w:eastAsia="Calibri"/>
                <w:bCs/>
                <w:iCs/>
                <w:sz w:val="20"/>
                <w:szCs w:val="20"/>
                <w:lang w:eastAsia="en-US"/>
              </w:rPr>
            </w:pPr>
            <w:r>
              <w:rPr>
                <w:rFonts w:eastAsia="Calibri"/>
                <w:bCs/>
                <w:iCs/>
                <w:sz w:val="20"/>
                <w:szCs w:val="20"/>
                <w:lang w:eastAsia="en-US"/>
              </w:rPr>
              <w:t xml:space="preserve">Вода, </w:t>
            </w:r>
            <w:proofErr w:type="spellStart"/>
            <w:r>
              <w:rPr>
                <w:rFonts w:eastAsia="Calibri"/>
                <w:bCs/>
                <w:iCs/>
                <w:sz w:val="20"/>
                <w:szCs w:val="20"/>
                <w:lang w:eastAsia="en-US"/>
              </w:rPr>
              <w:t>куб.м</w:t>
            </w:r>
            <w:proofErr w:type="spellEnd"/>
          </w:p>
        </w:tc>
        <w:tc>
          <w:tcPr>
            <w:tcW w:w="1345" w:type="dxa"/>
            <w:shd w:val="clear" w:color="auto" w:fill="auto"/>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93 271</w:t>
            </w:r>
          </w:p>
        </w:tc>
        <w:tc>
          <w:tcPr>
            <w:tcW w:w="1275" w:type="dxa"/>
            <w:shd w:val="clear" w:color="auto" w:fill="auto"/>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5 356</w:t>
            </w:r>
          </w:p>
        </w:tc>
        <w:tc>
          <w:tcPr>
            <w:tcW w:w="1374" w:type="dxa"/>
            <w:shd w:val="clear" w:color="auto" w:fill="auto"/>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91 111</w:t>
            </w:r>
          </w:p>
        </w:tc>
        <w:tc>
          <w:tcPr>
            <w:tcW w:w="1134" w:type="dxa"/>
            <w:tcBorders>
              <w:top w:val="nil"/>
              <w:left w:val="nil"/>
              <w:bottom w:val="single" w:sz="4" w:space="0" w:color="auto"/>
              <w:right w:val="single" w:sz="4" w:space="0" w:color="auto"/>
            </w:tcBorders>
            <w:shd w:val="clear" w:color="auto" w:fill="auto"/>
            <w:vAlign w:val="center"/>
          </w:tcPr>
          <w:p w:rsidR="00773E2C" w:rsidRDefault="00805665">
            <w:pPr>
              <w:autoSpaceDE w:val="0"/>
              <w:autoSpaceDN w:val="0"/>
              <w:adjustRightInd w:val="0"/>
              <w:jc w:val="center"/>
              <w:rPr>
                <w:rFonts w:eastAsia="Calibri"/>
                <w:sz w:val="20"/>
                <w:szCs w:val="20"/>
                <w:lang w:eastAsia="en-US"/>
              </w:rPr>
            </w:pPr>
            <w:r>
              <w:rPr>
                <w:rFonts w:eastAsia="Calibri"/>
                <w:sz w:val="20"/>
                <w:szCs w:val="20"/>
                <w:lang w:eastAsia="en-US"/>
              </w:rPr>
              <w:t>5 475</w:t>
            </w:r>
          </w:p>
        </w:tc>
        <w:tc>
          <w:tcPr>
            <w:tcW w:w="1254" w:type="dxa"/>
            <w:tcBorders>
              <w:top w:val="nil"/>
              <w:left w:val="nil"/>
              <w:bottom w:val="single" w:sz="4" w:space="0" w:color="auto"/>
              <w:right w:val="single" w:sz="4" w:space="0" w:color="auto"/>
            </w:tcBorders>
            <w:vAlign w:val="center"/>
          </w:tcPr>
          <w:p w:rsidR="00773E2C" w:rsidRDefault="00805665">
            <w:pPr>
              <w:autoSpaceDE w:val="0"/>
              <w:autoSpaceDN w:val="0"/>
              <w:adjustRightInd w:val="0"/>
              <w:jc w:val="center"/>
              <w:rPr>
                <w:rFonts w:eastAsia="Calibri"/>
                <w:sz w:val="20"/>
                <w:szCs w:val="20"/>
                <w:lang w:val="en-US" w:eastAsia="en-US"/>
              </w:rPr>
            </w:pPr>
            <w:r>
              <w:rPr>
                <w:rFonts w:eastAsia="Calibri"/>
                <w:sz w:val="20"/>
                <w:szCs w:val="20"/>
                <w:lang w:val="en-US" w:eastAsia="en-US"/>
              </w:rPr>
              <w:t>79 046</w:t>
            </w:r>
          </w:p>
        </w:tc>
        <w:tc>
          <w:tcPr>
            <w:tcW w:w="1254" w:type="dxa"/>
            <w:tcBorders>
              <w:top w:val="nil"/>
              <w:left w:val="nil"/>
              <w:bottom w:val="single" w:sz="4" w:space="0" w:color="auto"/>
              <w:right w:val="single" w:sz="4" w:space="0" w:color="auto"/>
            </w:tcBorders>
            <w:vAlign w:val="center"/>
          </w:tcPr>
          <w:p w:rsidR="00773E2C" w:rsidRDefault="00805665">
            <w:pPr>
              <w:autoSpaceDE w:val="0"/>
              <w:autoSpaceDN w:val="0"/>
              <w:adjustRightInd w:val="0"/>
              <w:jc w:val="center"/>
              <w:rPr>
                <w:rFonts w:eastAsia="Calibri"/>
                <w:sz w:val="20"/>
                <w:szCs w:val="20"/>
                <w:lang w:val="en-US" w:eastAsia="en-US"/>
              </w:rPr>
            </w:pPr>
            <w:r>
              <w:rPr>
                <w:rFonts w:eastAsia="Calibri"/>
                <w:sz w:val="20"/>
                <w:szCs w:val="20"/>
                <w:lang w:val="en-US" w:eastAsia="en-US"/>
              </w:rPr>
              <w:t>5 464</w:t>
            </w:r>
          </w:p>
        </w:tc>
      </w:tr>
    </w:tbl>
    <w:p w:rsidR="00773E2C" w:rsidRDefault="00773E2C">
      <w:pPr>
        <w:ind w:firstLine="567"/>
        <w:jc w:val="both"/>
        <w:rPr>
          <w:color w:val="000000"/>
          <w:sz w:val="20"/>
        </w:rPr>
      </w:pPr>
    </w:p>
    <w:p w:rsidR="00773E2C" w:rsidRDefault="00805665">
      <w:pPr>
        <w:ind w:firstLine="567"/>
        <w:jc w:val="both"/>
        <w:rPr>
          <w:color w:val="000000"/>
          <w:sz w:val="22"/>
        </w:rPr>
      </w:pPr>
      <w:r>
        <w:rPr>
          <w:color w:val="000000"/>
          <w:sz w:val="22"/>
        </w:rPr>
        <w:t>Из информации, представленной в таблице 5.1.1, видно, что, по сравнению с предыдущим годом в отчетном году произошло снижение потребления ряда ресурсов: электроэнергии, тепловой энергии и природного газа. Это в первую очередь связано с сокращением дополнительных офисов и точек продаж Банка. Их число уменьшилось с 212 единиц на начало 2025 года до 195 единиц на конец 2025 года. Снижение потребления автомобильного бензина и дизельного топлива также связано с сокращением автомобильного парка Банка – на начало 2025 года в Банке числилось 163 транспортных средств, на конец года – 156.</w:t>
      </w:r>
    </w:p>
    <w:p w:rsidR="00773E2C" w:rsidRDefault="00805665">
      <w:pPr>
        <w:ind w:firstLine="567"/>
        <w:jc w:val="both"/>
        <w:rPr>
          <w:color w:val="000000"/>
          <w:sz w:val="22"/>
          <w:szCs w:val="22"/>
        </w:rPr>
      </w:pPr>
      <w:r>
        <w:rPr>
          <w:color w:val="000000"/>
          <w:sz w:val="22"/>
        </w:rPr>
        <w:t>Банк, осознавая необходимость сохранения окружающей среды, стремится минимизировать количество отходов, образуемых им в результате своей деятельности, в том числе опасных. В соответствии с действующим законодательством Российской Федерации об охране окружающей среды Банк передает отходы на утилизацию по договорам специализированными организациям.</w:t>
      </w:r>
    </w:p>
    <w:p w:rsidR="00773E2C" w:rsidRDefault="00805665">
      <w:pPr>
        <w:ind w:firstLine="567"/>
        <w:jc w:val="both"/>
        <w:rPr>
          <w:color w:val="000000"/>
          <w:sz w:val="22"/>
          <w:szCs w:val="22"/>
        </w:rPr>
      </w:pPr>
      <w:r>
        <w:rPr>
          <w:color w:val="000000"/>
          <w:sz w:val="22"/>
          <w:szCs w:val="22"/>
        </w:rPr>
        <w:t>Данные по утилизации отходов в натуральном выражении и затрат на их утилизацию в денежном выражении приведены в таблице 5.1.2.</w:t>
      </w:r>
    </w:p>
    <w:p w:rsidR="00572656" w:rsidRDefault="00572656">
      <w:pPr>
        <w:ind w:firstLine="567"/>
        <w:jc w:val="both"/>
        <w:rPr>
          <w:color w:val="000000"/>
          <w:sz w:val="22"/>
        </w:rPr>
      </w:pPr>
    </w:p>
    <w:p w:rsidR="00773E2C" w:rsidRDefault="00805665">
      <w:pPr>
        <w:ind w:firstLine="567"/>
        <w:jc w:val="both"/>
        <w:rPr>
          <w:b/>
          <w:sz w:val="22"/>
        </w:rPr>
      </w:pPr>
      <w:r>
        <w:rPr>
          <w:rFonts w:eastAsia="Calibri"/>
          <w:b/>
          <w:sz w:val="22"/>
          <w:szCs w:val="22"/>
          <w:lang w:eastAsia="en-US"/>
        </w:rPr>
        <w:t xml:space="preserve">Таблица 5.1.2 </w:t>
      </w:r>
      <w:r>
        <w:rPr>
          <w:b/>
          <w:sz w:val="22"/>
        </w:rPr>
        <w:t>Данные по утилизации отходов в натуральном выражении и затрат на их утилизацию в денежном выражении</w:t>
      </w:r>
    </w:p>
    <w:p w:rsidR="00773E2C" w:rsidRDefault="00773E2C">
      <w:pPr>
        <w:autoSpaceDE w:val="0"/>
        <w:autoSpaceDN w:val="0"/>
        <w:adjustRightInd w:val="0"/>
        <w:ind w:firstLine="567"/>
        <w:jc w:val="both"/>
        <w:rPr>
          <w:color w:val="000000" w:themeColor="text1"/>
          <w:sz w:val="18"/>
        </w:rPr>
      </w:pPr>
    </w:p>
    <w:tbl>
      <w:tblPr>
        <w:tblW w:w="975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94"/>
        <w:gridCol w:w="1295"/>
        <w:gridCol w:w="1294"/>
        <w:gridCol w:w="1295"/>
        <w:gridCol w:w="1294"/>
        <w:gridCol w:w="1295"/>
      </w:tblGrid>
      <w:tr w:rsidR="00773E2C">
        <w:trPr>
          <w:trHeight w:val="300"/>
        </w:trPr>
        <w:tc>
          <w:tcPr>
            <w:tcW w:w="1985" w:type="dxa"/>
            <w:vMerge w:val="restart"/>
            <w:shd w:val="clear" w:color="auto" w:fill="auto"/>
            <w:noWrap/>
            <w:vAlign w:val="center"/>
          </w:tcPr>
          <w:p w:rsidR="00773E2C" w:rsidRDefault="00805665">
            <w:pPr>
              <w:jc w:val="center"/>
              <w:rPr>
                <w:rFonts w:eastAsia="Times New Roman"/>
                <w:b/>
                <w:color w:val="000000" w:themeColor="text1"/>
                <w:sz w:val="20"/>
                <w:szCs w:val="20"/>
              </w:rPr>
            </w:pPr>
            <w:r>
              <w:rPr>
                <w:rFonts w:eastAsia="Times New Roman"/>
                <w:b/>
                <w:color w:val="000000" w:themeColor="text1"/>
                <w:sz w:val="20"/>
                <w:szCs w:val="20"/>
              </w:rPr>
              <w:t>Утилизируемые отходы</w:t>
            </w:r>
          </w:p>
        </w:tc>
        <w:tc>
          <w:tcPr>
            <w:tcW w:w="2589" w:type="dxa"/>
            <w:gridSpan w:val="2"/>
            <w:shd w:val="clear" w:color="auto" w:fill="auto"/>
            <w:vAlign w:val="center"/>
          </w:tcPr>
          <w:p w:rsidR="00773E2C" w:rsidRDefault="00805665">
            <w:pPr>
              <w:jc w:val="center"/>
              <w:rPr>
                <w:rFonts w:eastAsia="Times New Roman"/>
                <w:b/>
                <w:bCs/>
                <w:color w:val="000000" w:themeColor="text1"/>
                <w:sz w:val="20"/>
                <w:szCs w:val="20"/>
              </w:rPr>
            </w:pPr>
            <w:r>
              <w:rPr>
                <w:rFonts w:eastAsia="Times New Roman"/>
                <w:b/>
                <w:bCs/>
                <w:color w:val="000000" w:themeColor="text1"/>
                <w:sz w:val="20"/>
                <w:szCs w:val="20"/>
              </w:rPr>
              <w:t>2023</w:t>
            </w:r>
          </w:p>
        </w:tc>
        <w:tc>
          <w:tcPr>
            <w:tcW w:w="2589" w:type="dxa"/>
            <w:gridSpan w:val="2"/>
            <w:shd w:val="clear" w:color="auto" w:fill="auto"/>
            <w:vAlign w:val="center"/>
          </w:tcPr>
          <w:p w:rsidR="00773E2C" w:rsidRDefault="00805665">
            <w:pPr>
              <w:jc w:val="center"/>
              <w:rPr>
                <w:rFonts w:eastAsia="Times New Roman"/>
                <w:b/>
                <w:bCs/>
                <w:color w:val="000000" w:themeColor="text1"/>
                <w:sz w:val="20"/>
                <w:szCs w:val="20"/>
              </w:rPr>
            </w:pPr>
            <w:r>
              <w:rPr>
                <w:rFonts w:eastAsia="Times New Roman"/>
                <w:b/>
                <w:bCs/>
                <w:color w:val="000000" w:themeColor="text1"/>
                <w:sz w:val="20"/>
                <w:szCs w:val="20"/>
              </w:rPr>
              <w:t>2024</w:t>
            </w:r>
          </w:p>
        </w:tc>
        <w:tc>
          <w:tcPr>
            <w:tcW w:w="2589" w:type="dxa"/>
            <w:gridSpan w:val="2"/>
            <w:vAlign w:val="center"/>
          </w:tcPr>
          <w:p w:rsidR="00773E2C" w:rsidRDefault="00805665">
            <w:pPr>
              <w:jc w:val="center"/>
              <w:rPr>
                <w:rFonts w:eastAsia="Times New Roman"/>
                <w:b/>
                <w:bCs/>
                <w:color w:val="000000" w:themeColor="text1"/>
                <w:sz w:val="20"/>
                <w:szCs w:val="20"/>
                <w:lang w:val="en-US"/>
              </w:rPr>
            </w:pPr>
            <w:r>
              <w:rPr>
                <w:rFonts w:eastAsia="Times New Roman"/>
                <w:b/>
                <w:bCs/>
                <w:color w:val="000000" w:themeColor="text1"/>
                <w:sz w:val="20"/>
                <w:szCs w:val="20"/>
                <w:lang w:val="en-US"/>
              </w:rPr>
              <w:t>2025</w:t>
            </w:r>
          </w:p>
        </w:tc>
      </w:tr>
      <w:tr w:rsidR="00773E2C">
        <w:trPr>
          <w:trHeight w:val="600"/>
        </w:trPr>
        <w:tc>
          <w:tcPr>
            <w:tcW w:w="1985" w:type="dxa"/>
            <w:vMerge/>
            <w:vAlign w:val="center"/>
          </w:tcPr>
          <w:p w:rsidR="00773E2C" w:rsidRDefault="00773E2C">
            <w:pPr>
              <w:rPr>
                <w:rFonts w:eastAsia="Times New Roman"/>
                <w:color w:val="000000" w:themeColor="text1"/>
                <w:sz w:val="20"/>
                <w:szCs w:val="20"/>
              </w:rPr>
            </w:pPr>
          </w:p>
        </w:tc>
        <w:tc>
          <w:tcPr>
            <w:tcW w:w="1294" w:type="dxa"/>
            <w:shd w:val="clear" w:color="auto" w:fill="auto"/>
            <w:vAlign w:val="center"/>
          </w:tcPr>
          <w:p w:rsidR="00773E2C" w:rsidRDefault="00805665">
            <w:pPr>
              <w:jc w:val="center"/>
              <w:rPr>
                <w:rFonts w:eastAsia="Times New Roman"/>
                <w:color w:val="000000" w:themeColor="text1"/>
                <w:sz w:val="20"/>
                <w:szCs w:val="20"/>
              </w:rPr>
            </w:pPr>
            <w:r>
              <w:rPr>
                <w:rFonts w:eastAsia="Times New Roman"/>
                <w:color w:val="000000" w:themeColor="text1"/>
                <w:sz w:val="20"/>
                <w:szCs w:val="20"/>
              </w:rPr>
              <w:t>Количество,</w:t>
            </w:r>
          </w:p>
          <w:p w:rsidR="00773E2C" w:rsidRDefault="00805665">
            <w:pPr>
              <w:jc w:val="center"/>
              <w:rPr>
                <w:rFonts w:eastAsia="Times New Roman"/>
                <w:color w:val="000000" w:themeColor="text1"/>
                <w:sz w:val="20"/>
                <w:szCs w:val="20"/>
              </w:rPr>
            </w:pPr>
            <w:r>
              <w:rPr>
                <w:rFonts w:eastAsia="Times New Roman"/>
                <w:color w:val="000000" w:themeColor="text1"/>
                <w:sz w:val="20"/>
                <w:szCs w:val="20"/>
              </w:rPr>
              <w:t>тонн</w:t>
            </w:r>
          </w:p>
        </w:tc>
        <w:tc>
          <w:tcPr>
            <w:tcW w:w="1295" w:type="dxa"/>
            <w:shd w:val="clear" w:color="auto" w:fill="auto"/>
            <w:vAlign w:val="center"/>
          </w:tcPr>
          <w:p w:rsidR="00773E2C" w:rsidRDefault="00805665">
            <w:pPr>
              <w:jc w:val="center"/>
              <w:rPr>
                <w:rFonts w:eastAsia="Times New Roman"/>
                <w:color w:val="000000" w:themeColor="text1"/>
                <w:sz w:val="20"/>
                <w:szCs w:val="20"/>
              </w:rPr>
            </w:pPr>
            <w:r>
              <w:rPr>
                <w:rFonts w:eastAsia="Times New Roman"/>
                <w:color w:val="000000" w:themeColor="text1"/>
                <w:sz w:val="20"/>
                <w:szCs w:val="20"/>
              </w:rPr>
              <w:t>Стоимость утилизации, тыс. руб.</w:t>
            </w:r>
          </w:p>
        </w:tc>
        <w:tc>
          <w:tcPr>
            <w:tcW w:w="1294" w:type="dxa"/>
            <w:shd w:val="clear" w:color="auto" w:fill="auto"/>
            <w:vAlign w:val="center"/>
          </w:tcPr>
          <w:p w:rsidR="00773E2C" w:rsidRDefault="00805665">
            <w:pPr>
              <w:jc w:val="center"/>
              <w:rPr>
                <w:rFonts w:eastAsia="Times New Roman"/>
                <w:color w:val="000000" w:themeColor="text1"/>
                <w:sz w:val="20"/>
                <w:szCs w:val="20"/>
              </w:rPr>
            </w:pPr>
            <w:r>
              <w:rPr>
                <w:rFonts w:eastAsia="Times New Roman"/>
                <w:color w:val="000000" w:themeColor="text1"/>
                <w:sz w:val="20"/>
                <w:szCs w:val="20"/>
              </w:rPr>
              <w:t>Количество,</w:t>
            </w:r>
          </w:p>
          <w:p w:rsidR="00773E2C" w:rsidRDefault="00805665">
            <w:pPr>
              <w:jc w:val="center"/>
              <w:rPr>
                <w:rFonts w:eastAsia="Times New Roman"/>
                <w:color w:val="000000" w:themeColor="text1"/>
                <w:sz w:val="20"/>
                <w:szCs w:val="20"/>
              </w:rPr>
            </w:pPr>
            <w:r>
              <w:rPr>
                <w:rFonts w:eastAsia="Times New Roman"/>
                <w:color w:val="000000" w:themeColor="text1"/>
                <w:sz w:val="20"/>
                <w:szCs w:val="20"/>
              </w:rPr>
              <w:t>тонн</w:t>
            </w:r>
          </w:p>
        </w:tc>
        <w:tc>
          <w:tcPr>
            <w:tcW w:w="1295" w:type="dxa"/>
            <w:shd w:val="clear" w:color="auto" w:fill="auto"/>
            <w:vAlign w:val="center"/>
          </w:tcPr>
          <w:p w:rsidR="00773E2C" w:rsidRDefault="00805665">
            <w:pPr>
              <w:jc w:val="center"/>
              <w:rPr>
                <w:rFonts w:eastAsia="Times New Roman"/>
                <w:color w:val="000000" w:themeColor="text1"/>
                <w:sz w:val="20"/>
                <w:szCs w:val="20"/>
              </w:rPr>
            </w:pPr>
            <w:r>
              <w:rPr>
                <w:rFonts w:eastAsia="Times New Roman"/>
                <w:color w:val="000000" w:themeColor="text1"/>
                <w:sz w:val="20"/>
                <w:szCs w:val="20"/>
              </w:rPr>
              <w:t>Стоимость утилизации, тыс. руб.</w:t>
            </w:r>
          </w:p>
        </w:tc>
        <w:tc>
          <w:tcPr>
            <w:tcW w:w="1294" w:type="dxa"/>
            <w:vAlign w:val="center"/>
          </w:tcPr>
          <w:p w:rsidR="00773E2C" w:rsidRDefault="00805665">
            <w:pPr>
              <w:jc w:val="center"/>
              <w:rPr>
                <w:rFonts w:eastAsia="Times New Roman"/>
                <w:color w:val="000000" w:themeColor="text1"/>
                <w:sz w:val="20"/>
                <w:szCs w:val="20"/>
              </w:rPr>
            </w:pPr>
            <w:r>
              <w:rPr>
                <w:rFonts w:eastAsia="Times New Roman"/>
                <w:color w:val="000000" w:themeColor="text1"/>
                <w:sz w:val="20"/>
                <w:szCs w:val="20"/>
              </w:rPr>
              <w:t>Количество,</w:t>
            </w:r>
          </w:p>
          <w:p w:rsidR="00773E2C" w:rsidRDefault="00805665">
            <w:pPr>
              <w:jc w:val="center"/>
              <w:rPr>
                <w:rFonts w:eastAsia="Times New Roman"/>
                <w:color w:val="000000" w:themeColor="text1"/>
                <w:sz w:val="20"/>
                <w:szCs w:val="20"/>
              </w:rPr>
            </w:pPr>
            <w:r>
              <w:rPr>
                <w:rFonts w:eastAsia="Times New Roman"/>
                <w:color w:val="000000" w:themeColor="text1"/>
                <w:sz w:val="20"/>
                <w:szCs w:val="20"/>
              </w:rPr>
              <w:t>тонн</w:t>
            </w:r>
          </w:p>
        </w:tc>
        <w:tc>
          <w:tcPr>
            <w:tcW w:w="1295" w:type="dxa"/>
            <w:vAlign w:val="center"/>
          </w:tcPr>
          <w:p w:rsidR="00773E2C" w:rsidRDefault="00805665">
            <w:pPr>
              <w:jc w:val="center"/>
              <w:rPr>
                <w:rFonts w:eastAsia="Times New Roman"/>
                <w:color w:val="000000" w:themeColor="text1"/>
                <w:sz w:val="20"/>
                <w:szCs w:val="20"/>
              </w:rPr>
            </w:pPr>
            <w:r>
              <w:rPr>
                <w:rFonts w:eastAsia="Times New Roman"/>
                <w:color w:val="000000" w:themeColor="text1"/>
                <w:sz w:val="20"/>
                <w:szCs w:val="20"/>
              </w:rPr>
              <w:t>Стоимость утилизации, тыс. руб.</w:t>
            </w:r>
          </w:p>
        </w:tc>
      </w:tr>
      <w:tr w:rsidR="00773E2C">
        <w:trPr>
          <w:trHeight w:val="300"/>
        </w:trPr>
        <w:tc>
          <w:tcPr>
            <w:tcW w:w="1985" w:type="dxa"/>
            <w:shd w:val="clear" w:color="auto" w:fill="auto"/>
            <w:noWrap/>
            <w:vAlign w:val="bottom"/>
          </w:tcPr>
          <w:p w:rsidR="00773E2C" w:rsidRDefault="00805665">
            <w:pPr>
              <w:autoSpaceDE w:val="0"/>
              <w:autoSpaceDN w:val="0"/>
              <w:adjustRightInd w:val="0"/>
              <w:ind w:firstLine="14"/>
              <w:rPr>
                <w:rFonts w:eastAsia="Calibri"/>
                <w:bCs/>
                <w:iCs/>
                <w:color w:val="000000" w:themeColor="text1"/>
                <w:sz w:val="20"/>
                <w:szCs w:val="20"/>
                <w:lang w:eastAsia="en-US"/>
              </w:rPr>
            </w:pPr>
            <w:r>
              <w:rPr>
                <w:rFonts w:eastAsia="Calibri"/>
                <w:bCs/>
                <w:iCs/>
                <w:color w:val="000000" w:themeColor="text1"/>
                <w:sz w:val="20"/>
                <w:szCs w:val="20"/>
                <w:lang w:eastAsia="en-US"/>
              </w:rPr>
              <w:t>Лампы</w:t>
            </w:r>
          </w:p>
        </w:tc>
        <w:tc>
          <w:tcPr>
            <w:tcW w:w="1294" w:type="dxa"/>
            <w:shd w:val="clear" w:color="auto" w:fill="auto"/>
            <w:noWrap/>
            <w:vAlign w:val="center"/>
          </w:tcPr>
          <w:p w:rsidR="00773E2C" w:rsidRDefault="00805665">
            <w:pPr>
              <w:autoSpaceDE w:val="0"/>
              <w:autoSpaceDN w:val="0"/>
              <w:adjustRightInd w:val="0"/>
              <w:ind w:firstLine="14"/>
              <w:jc w:val="center"/>
              <w:rPr>
                <w:rFonts w:eastAsia="Calibri"/>
                <w:bCs/>
                <w:iCs/>
                <w:color w:val="000000" w:themeColor="text1"/>
                <w:sz w:val="20"/>
                <w:szCs w:val="20"/>
                <w:lang w:eastAsia="en-US"/>
              </w:rPr>
            </w:pPr>
            <w:r>
              <w:rPr>
                <w:rFonts w:eastAsia="Calibri"/>
                <w:bCs/>
                <w:iCs/>
                <w:color w:val="000000" w:themeColor="text1"/>
                <w:sz w:val="20"/>
                <w:szCs w:val="20"/>
                <w:lang w:eastAsia="en-US"/>
              </w:rPr>
              <w:t>0,80</w:t>
            </w:r>
          </w:p>
        </w:tc>
        <w:tc>
          <w:tcPr>
            <w:tcW w:w="1295" w:type="dxa"/>
            <w:shd w:val="clear" w:color="auto" w:fill="auto"/>
            <w:noWrap/>
            <w:vAlign w:val="center"/>
          </w:tcPr>
          <w:p w:rsidR="00773E2C" w:rsidRDefault="00805665">
            <w:pPr>
              <w:autoSpaceDE w:val="0"/>
              <w:autoSpaceDN w:val="0"/>
              <w:adjustRightInd w:val="0"/>
              <w:ind w:firstLine="14"/>
              <w:jc w:val="center"/>
              <w:rPr>
                <w:rFonts w:eastAsia="Calibri"/>
                <w:bCs/>
                <w:iCs/>
                <w:color w:val="000000" w:themeColor="text1"/>
                <w:sz w:val="20"/>
                <w:szCs w:val="20"/>
                <w:lang w:eastAsia="en-US"/>
              </w:rPr>
            </w:pPr>
            <w:r>
              <w:rPr>
                <w:rFonts w:eastAsia="Calibri"/>
                <w:bCs/>
                <w:iCs/>
                <w:color w:val="000000" w:themeColor="text1"/>
                <w:sz w:val="20"/>
                <w:szCs w:val="20"/>
                <w:lang w:eastAsia="en-US"/>
              </w:rPr>
              <w:t>143,51</w:t>
            </w:r>
          </w:p>
        </w:tc>
        <w:tc>
          <w:tcPr>
            <w:tcW w:w="1294" w:type="dxa"/>
            <w:shd w:val="clear" w:color="auto" w:fill="auto"/>
            <w:noWrap/>
            <w:vAlign w:val="center"/>
          </w:tcPr>
          <w:p w:rsidR="00773E2C" w:rsidRDefault="00805665">
            <w:pPr>
              <w:autoSpaceDE w:val="0"/>
              <w:autoSpaceDN w:val="0"/>
              <w:adjustRightInd w:val="0"/>
              <w:ind w:firstLine="14"/>
              <w:jc w:val="center"/>
              <w:rPr>
                <w:rFonts w:eastAsia="Calibri"/>
                <w:bCs/>
                <w:iCs/>
                <w:color w:val="000000" w:themeColor="text1"/>
                <w:sz w:val="20"/>
                <w:szCs w:val="20"/>
                <w:lang w:eastAsia="en-US"/>
              </w:rPr>
            </w:pPr>
            <w:r>
              <w:rPr>
                <w:rFonts w:eastAsia="Calibri"/>
                <w:bCs/>
                <w:iCs/>
                <w:color w:val="000000" w:themeColor="text1"/>
                <w:sz w:val="20"/>
                <w:szCs w:val="20"/>
                <w:lang w:eastAsia="en-US"/>
              </w:rPr>
              <w:t>1,17</w:t>
            </w:r>
          </w:p>
        </w:tc>
        <w:tc>
          <w:tcPr>
            <w:tcW w:w="1295" w:type="dxa"/>
            <w:shd w:val="clear" w:color="auto" w:fill="auto"/>
            <w:noWrap/>
            <w:vAlign w:val="center"/>
          </w:tcPr>
          <w:p w:rsidR="00773E2C" w:rsidRDefault="00805665">
            <w:pPr>
              <w:autoSpaceDE w:val="0"/>
              <w:autoSpaceDN w:val="0"/>
              <w:adjustRightInd w:val="0"/>
              <w:ind w:firstLine="14"/>
              <w:jc w:val="center"/>
              <w:rPr>
                <w:rFonts w:eastAsia="Calibri"/>
                <w:bCs/>
                <w:iCs/>
                <w:color w:val="000000" w:themeColor="text1"/>
                <w:sz w:val="20"/>
                <w:szCs w:val="20"/>
                <w:lang w:eastAsia="en-US"/>
              </w:rPr>
            </w:pPr>
            <w:r>
              <w:rPr>
                <w:rFonts w:eastAsia="Calibri"/>
                <w:bCs/>
                <w:iCs/>
                <w:color w:val="000000" w:themeColor="text1"/>
                <w:sz w:val="20"/>
                <w:szCs w:val="20"/>
                <w:lang w:eastAsia="en-US"/>
              </w:rPr>
              <w:t>249,57</w:t>
            </w:r>
          </w:p>
        </w:tc>
        <w:tc>
          <w:tcPr>
            <w:tcW w:w="1294" w:type="dxa"/>
            <w:vAlign w:val="center"/>
          </w:tcPr>
          <w:p w:rsidR="00773E2C" w:rsidRDefault="00805665">
            <w:pPr>
              <w:autoSpaceDE w:val="0"/>
              <w:autoSpaceDN w:val="0"/>
              <w:adjustRightInd w:val="0"/>
              <w:ind w:firstLine="14"/>
              <w:jc w:val="center"/>
              <w:rPr>
                <w:rFonts w:eastAsia="Calibri"/>
                <w:bCs/>
                <w:iCs/>
                <w:color w:val="000000" w:themeColor="text1"/>
                <w:sz w:val="20"/>
                <w:szCs w:val="20"/>
                <w:lang w:eastAsia="en-US"/>
              </w:rPr>
            </w:pPr>
            <w:r>
              <w:rPr>
                <w:rFonts w:eastAsia="Calibri"/>
                <w:bCs/>
                <w:iCs/>
                <w:color w:val="000000" w:themeColor="text1"/>
                <w:sz w:val="20"/>
                <w:szCs w:val="20"/>
                <w:lang w:eastAsia="en-US"/>
              </w:rPr>
              <w:t>0,09</w:t>
            </w:r>
          </w:p>
        </w:tc>
        <w:tc>
          <w:tcPr>
            <w:tcW w:w="1295" w:type="dxa"/>
            <w:vAlign w:val="center"/>
          </w:tcPr>
          <w:p w:rsidR="00773E2C" w:rsidRDefault="00805665">
            <w:pPr>
              <w:autoSpaceDE w:val="0"/>
              <w:autoSpaceDN w:val="0"/>
              <w:adjustRightInd w:val="0"/>
              <w:ind w:firstLine="14"/>
              <w:jc w:val="center"/>
              <w:rPr>
                <w:rFonts w:eastAsia="Calibri"/>
                <w:bCs/>
                <w:iCs/>
                <w:color w:val="000000" w:themeColor="text1"/>
                <w:sz w:val="20"/>
                <w:szCs w:val="20"/>
                <w:lang w:eastAsia="en-US"/>
              </w:rPr>
            </w:pPr>
            <w:r>
              <w:rPr>
                <w:rFonts w:eastAsia="Calibri"/>
                <w:bCs/>
                <w:iCs/>
                <w:color w:val="000000" w:themeColor="text1"/>
                <w:sz w:val="20"/>
                <w:szCs w:val="20"/>
                <w:lang w:eastAsia="en-US"/>
              </w:rPr>
              <w:t>19,3</w:t>
            </w:r>
          </w:p>
        </w:tc>
      </w:tr>
      <w:tr w:rsidR="00773E2C">
        <w:trPr>
          <w:trHeight w:val="300"/>
        </w:trPr>
        <w:tc>
          <w:tcPr>
            <w:tcW w:w="1985" w:type="dxa"/>
            <w:shd w:val="clear" w:color="auto" w:fill="auto"/>
            <w:noWrap/>
            <w:vAlign w:val="bottom"/>
          </w:tcPr>
          <w:p w:rsidR="00773E2C" w:rsidRDefault="00805665">
            <w:pPr>
              <w:autoSpaceDE w:val="0"/>
              <w:autoSpaceDN w:val="0"/>
              <w:adjustRightInd w:val="0"/>
              <w:ind w:firstLine="14"/>
              <w:rPr>
                <w:rFonts w:eastAsia="Calibri"/>
                <w:bCs/>
                <w:iCs/>
                <w:color w:val="000000" w:themeColor="text1"/>
                <w:sz w:val="20"/>
                <w:szCs w:val="20"/>
                <w:lang w:eastAsia="en-US"/>
              </w:rPr>
            </w:pPr>
            <w:r>
              <w:rPr>
                <w:rFonts w:eastAsia="Calibri"/>
                <w:bCs/>
                <w:iCs/>
                <w:color w:val="000000" w:themeColor="text1"/>
                <w:sz w:val="20"/>
                <w:szCs w:val="20"/>
                <w:lang w:eastAsia="en-US"/>
              </w:rPr>
              <w:t>Оборудование, ИТ-техника</w:t>
            </w:r>
          </w:p>
        </w:tc>
        <w:tc>
          <w:tcPr>
            <w:tcW w:w="1294" w:type="dxa"/>
            <w:shd w:val="clear" w:color="auto" w:fill="auto"/>
            <w:noWrap/>
            <w:vAlign w:val="center"/>
          </w:tcPr>
          <w:p w:rsidR="00773E2C" w:rsidRDefault="00805665">
            <w:pPr>
              <w:autoSpaceDE w:val="0"/>
              <w:autoSpaceDN w:val="0"/>
              <w:adjustRightInd w:val="0"/>
              <w:ind w:firstLine="14"/>
              <w:jc w:val="center"/>
              <w:rPr>
                <w:rFonts w:eastAsia="Calibri"/>
                <w:bCs/>
                <w:iCs/>
                <w:color w:val="000000" w:themeColor="text1"/>
                <w:sz w:val="20"/>
                <w:szCs w:val="20"/>
                <w:lang w:eastAsia="en-US"/>
              </w:rPr>
            </w:pPr>
            <w:r>
              <w:rPr>
                <w:rFonts w:eastAsia="Calibri"/>
                <w:bCs/>
                <w:iCs/>
                <w:color w:val="000000" w:themeColor="text1"/>
                <w:sz w:val="20"/>
                <w:szCs w:val="20"/>
                <w:lang w:eastAsia="en-US"/>
              </w:rPr>
              <w:t>7,48</w:t>
            </w:r>
          </w:p>
        </w:tc>
        <w:tc>
          <w:tcPr>
            <w:tcW w:w="1295" w:type="dxa"/>
            <w:shd w:val="clear" w:color="auto" w:fill="auto"/>
            <w:noWrap/>
            <w:vAlign w:val="center"/>
          </w:tcPr>
          <w:p w:rsidR="00773E2C" w:rsidRDefault="00805665">
            <w:pPr>
              <w:autoSpaceDE w:val="0"/>
              <w:autoSpaceDN w:val="0"/>
              <w:adjustRightInd w:val="0"/>
              <w:ind w:firstLine="14"/>
              <w:jc w:val="center"/>
              <w:rPr>
                <w:rFonts w:eastAsia="Calibri"/>
                <w:bCs/>
                <w:iCs/>
                <w:color w:val="000000" w:themeColor="text1"/>
                <w:sz w:val="20"/>
                <w:szCs w:val="20"/>
                <w:lang w:eastAsia="en-US"/>
              </w:rPr>
            </w:pPr>
            <w:r>
              <w:rPr>
                <w:rFonts w:eastAsia="Calibri"/>
                <w:bCs/>
                <w:iCs/>
                <w:color w:val="000000" w:themeColor="text1"/>
                <w:sz w:val="20"/>
                <w:szCs w:val="20"/>
                <w:lang w:eastAsia="en-US"/>
              </w:rPr>
              <w:t>28,91</w:t>
            </w:r>
          </w:p>
        </w:tc>
        <w:tc>
          <w:tcPr>
            <w:tcW w:w="1294" w:type="dxa"/>
            <w:shd w:val="clear" w:color="auto" w:fill="auto"/>
            <w:noWrap/>
            <w:vAlign w:val="center"/>
          </w:tcPr>
          <w:p w:rsidR="00773E2C" w:rsidRDefault="00805665">
            <w:pPr>
              <w:autoSpaceDE w:val="0"/>
              <w:autoSpaceDN w:val="0"/>
              <w:adjustRightInd w:val="0"/>
              <w:ind w:firstLine="14"/>
              <w:jc w:val="center"/>
              <w:rPr>
                <w:rFonts w:eastAsia="Calibri"/>
                <w:bCs/>
                <w:iCs/>
                <w:color w:val="000000" w:themeColor="text1"/>
                <w:sz w:val="20"/>
                <w:szCs w:val="20"/>
                <w:lang w:eastAsia="en-US"/>
              </w:rPr>
            </w:pPr>
            <w:r>
              <w:rPr>
                <w:rFonts w:eastAsia="Calibri"/>
                <w:bCs/>
                <w:iCs/>
                <w:color w:val="000000" w:themeColor="text1"/>
                <w:sz w:val="20"/>
                <w:szCs w:val="20"/>
                <w:lang w:eastAsia="en-US"/>
              </w:rPr>
              <w:t>17,44</w:t>
            </w:r>
          </w:p>
        </w:tc>
        <w:tc>
          <w:tcPr>
            <w:tcW w:w="1295" w:type="dxa"/>
            <w:shd w:val="clear" w:color="auto" w:fill="auto"/>
            <w:noWrap/>
            <w:vAlign w:val="center"/>
          </w:tcPr>
          <w:p w:rsidR="00773E2C" w:rsidRDefault="00805665">
            <w:pPr>
              <w:autoSpaceDE w:val="0"/>
              <w:autoSpaceDN w:val="0"/>
              <w:adjustRightInd w:val="0"/>
              <w:ind w:firstLine="14"/>
              <w:jc w:val="center"/>
              <w:rPr>
                <w:rFonts w:eastAsia="Calibri"/>
                <w:bCs/>
                <w:iCs/>
                <w:color w:val="000000" w:themeColor="text1"/>
                <w:sz w:val="20"/>
                <w:szCs w:val="20"/>
                <w:lang w:eastAsia="en-US"/>
              </w:rPr>
            </w:pPr>
            <w:r>
              <w:rPr>
                <w:rFonts w:eastAsia="Calibri"/>
                <w:bCs/>
                <w:iCs/>
                <w:color w:val="000000" w:themeColor="text1"/>
                <w:sz w:val="20"/>
                <w:szCs w:val="20"/>
                <w:lang w:eastAsia="en-US"/>
              </w:rPr>
              <w:t>4,64</w:t>
            </w:r>
          </w:p>
        </w:tc>
        <w:tc>
          <w:tcPr>
            <w:tcW w:w="1294" w:type="dxa"/>
            <w:vAlign w:val="center"/>
          </w:tcPr>
          <w:p w:rsidR="00773E2C" w:rsidRDefault="00805665">
            <w:pPr>
              <w:autoSpaceDE w:val="0"/>
              <w:autoSpaceDN w:val="0"/>
              <w:adjustRightInd w:val="0"/>
              <w:ind w:firstLine="14"/>
              <w:jc w:val="center"/>
              <w:rPr>
                <w:rFonts w:eastAsia="Calibri"/>
                <w:bCs/>
                <w:iCs/>
                <w:color w:val="000000" w:themeColor="text1"/>
                <w:sz w:val="20"/>
                <w:szCs w:val="20"/>
                <w:lang w:eastAsia="en-US"/>
              </w:rPr>
            </w:pPr>
            <w:r>
              <w:rPr>
                <w:rFonts w:eastAsia="Calibri"/>
                <w:bCs/>
                <w:iCs/>
                <w:color w:val="000000" w:themeColor="text1"/>
                <w:sz w:val="20"/>
                <w:szCs w:val="20"/>
                <w:lang w:eastAsia="en-US"/>
              </w:rPr>
              <w:t>13,18</w:t>
            </w:r>
          </w:p>
        </w:tc>
        <w:tc>
          <w:tcPr>
            <w:tcW w:w="1295" w:type="dxa"/>
            <w:vAlign w:val="center"/>
          </w:tcPr>
          <w:p w:rsidR="00773E2C" w:rsidRDefault="00805665">
            <w:pPr>
              <w:autoSpaceDE w:val="0"/>
              <w:autoSpaceDN w:val="0"/>
              <w:adjustRightInd w:val="0"/>
              <w:ind w:firstLine="14"/>
              <w:jc w:val="center"/>
              <w:rPr>
                <w:rFonts w:eastAsia="Calibri"/>
                <w:bCs/>
                <w:iCs/>
                <w:color w:val="000000" w:themeColor="text1"/>
                <w:sz w:val="20"/>
                <w:szCs w:val="20"/>
                <w:lang w:eastAsia="en-US"/>
              </w:rPr>
            </w:pPr>
            <w:r>
              <w:rPr>
                <w:rFonts w:eastAsia="Calibri"/>
                <w:bCs/>
                <w:iCs/>
                <w:color w:val="000000" w:themeColor="text1"/>
                <w:sz w:val="20"/>
                <w:szCs w:val="20"/>
                <w:lang w:eastAsia="en-US"/>
              </w:rPr>
              <w:t>3,5</w:t>
            </w:r>
          </w:p>
        </w:tc>
      </w:tr>
      <w:tr w:rsidR="00773E2C">
        <w:trPr>
          <w:trHeight w:val="300"/>
        </w:trPr>
        <w:tc>
          <w:tcPr>
            <w:tcW w:w="1985" w:type="dxa"/>
            <w:shd w:val="clear" w:color="auto" w:fill="auto"/>
            <w:noWrap/>
            <w:vAlign w:val="bottom"/>
          </w:tcPr>
          <w:p w:rsidR="00773E2C" w:rsidRDefault="00805665">
            <w:pPr>
              <w:autoSpaceDE w:val="0"/>
              <w:autoSpaceDN w:val="0"/>
              <w:adjustRightInd w:val="0"/>
              <w:ind w:firstLine="14"/>
              <w:rPr>
                <w:rFonts w:eastAsia="Calibri"/>
                <w:bCs/>
                <w:iCs/>
                <w:color w:val="000000" w:themeColor="text1"/>
                <w:sz w:val="20"/>
                <w:szCs w:val="20"/>
                <w:lang w:eastAsia="en-US"/>
              </w:rPr>
            </w:pPr>
            <w:r>
              <w:rPr>
                <w:rFonts w:eastAsia="Calibri"/>
                <w:bCs/>
                <w:iCs/>
                <w:color w:val="000000" w:themeColor="text1"/>
                <w:sz w:val="20"/>
                <w:szCs w:val="20"/>
                <w:lang w:eastAsia="en-US"/>
              </w:rPr>
              <w:t>Шины автомобильные</w:t>
            </w:r>
          </w:p>
        </w:tc>
        <w:tc>
          <w:tcPr>
            <w:tcW w:w="1294" w:type="dxa"/>
            <w:shd w:val="clear" w:color="auto" w:fill="auto"/>
            <w:noWrap/>
            <w:vAlign w:val="center"/>
          </w:tcPr>
          <w:p w:rsidR="00773E2C" w:rsidRDefault="00805665">
            <w:pPr>
              <w:autoSpaceDE w:val="0"/>
              <w:autoSpaceDN w:val="0"/>
              <w:adjustRightInd w:val="0"/>
              <w:ind w:firstLine="14"/>
              <w:jc w:val="center"/>
              <w:rPr>
                <w:rFonts w:eastAsia="Calibri"/>
                <w:bCs/>
                <w:iCs/>
                <w:color w:val="000000" w:themeColor="text1"/>
                <w:sz w:val="20"/>
                <w:szCs w:val="20"/>
                <w:lang w:eastAsia="en-US"/>
              </w:rPr>
            </w:pPr>
            <w:r>
              <w:rPr>
                <w:rFonts w:eastAsia="Calibri"/>
                <w:bCs/>
                <w:iCs/>
                <w:color w:val="000000" w:themeColor="text1"/>
                <w:sz w:val="20"/>
                <w:szCs w:val="20"/>
                <w:lang w:eastAsia="en-US"/>
              </w:rPr>
              <w:t>1,61</w:t>
            </w:r>
          </w:p>
        </w:tc>
        <w:tc>
          <w:tcPr>
            <w:tcW w:w="1295" w:type="dxa"/>
            <w:shd w:val="clear" w:color="auto" w:fill="auto"/>
            <w:noWrap/>
            <w:vAlign w:val="center"/>
          </w:tcPr>
          <w:p w:rsidR="00773E2C" w:rsidRDefault="00805665">
            <w:pPr>
              <w:autoSpaceDE w:val="0"/>
              <w:autoSpaceDN w:val="0"/>
              <w:adjustRightInd w:val="0"/>
              <w:ind w:firstLine="14"/>
              <w:jc w:val="center"/>
              <w:rPr>
                <w:rFonts w:eastAsia="Calibri"/>
                <w:bCs/>
                <w:iCs/>
                <w:color w:val="000000" w:themeColor="text1"/>
                <w:sz w:val="20"/>
                <w:szCs w:val="20"/>
                <w:lang w:eastAsia="en-US"/>
              </w:rPr>
            </w:pPr>
            <w:r>
              <w:rPr>
                <w:rFonts w:eastAsia="Calibri"/>
                <w:bCs/>
                <w:iCs/>
                <w:color w:val="000000" w:themeColor="text1"/>
                <w:sz w:val="20"/>
                <w:szCs w:val="20"/>
                <w:lang w:eastAsia="en-US"/>
              </w:rPr>
              <w:t>34,62</w:t>
            </w:r>
          </w:p>
        </w:tc>
        <w:tc>
          <w:tcPr>
            <w:tcW w:w="1294" w:type="dxa"/>
            <w:shd w:val="clear" w:color="auto" w:fill="auto"/>
            <w:noWrap/>
            <w:vAlign w:val="center"/>
          </w:tcPr>
          <w:p w:rsidR="00773E2C" w:rsidRDefault="00805665">
            <w:pPr>
              <w:autoSpaceDE w:val="0"/>
              <w:autoSpaceDN w:val="0"/>
              <w:adjustRightInd w:val="0"/>
              <w:ind w:firstLine="14"/>
              <w:jc w:val="center"/>
              <w:rPr>
                <w:rFonts w:eastAsia="Calibri"/>
                <w:bCs/>
                <w:iCs/>
                <w:color w:val="000000" w:themeColor="text1"/>
                <w:sz w:val="20"/>
                <w:szCs w:val="20"/>
                <w:lang w:eastAsia="en-US"/>
              </w:rPr>
            </w:pPr>
            <w:r>
              <w:rPr>
                <w:rFonts w:eastAsia="Calibri"/>
                <w:bCs/>
                <w:iCs/>
                <w:color w:val="000000" w:themeColor="text1"/>
                <w:sz w:val="20"/>
                <w:szCs w:val="20"/>
                <w:lang w:eastAsia="en-US"/>
              </w:rPr>
              <w:t>0,32</w:t>
            </w:r>
          </w:p>
        </w:tc>
        <w:tc>
          <w:tcPr>
            <w:tcW w:w="1295" w:type="dxa"/>
            <w:shd w:val="clear" w:color="auto" w:fill="auto"/>
            <w:noWrap/>
            <w:vAlign w:val="center"/>
          </w:tcPr>
          <w:p w:rsidR="00773E2C" w:rsidRDefault="00805665">
            <w:pPr>
              <w:autoSpaceDE w:val="0"/>
              <w:autoSpaceDN w:val="0"/>
              <w:adjustRightInd w:val="0"/>
              <w:ind w:firstLine="14"/>
              <w:jc w:val="center"/>
              <w:rPr>
                <w:rFonts w:eastAsia="Calibri"/>
                <w:bCs/>
                <w:iCs/>
                <w:color w:val="000000" w:themeColor="text1"/>
                <w:sz w:val="20"/>
                <w:szCs w:val="20"/>
                <w:lang w:eastAsia="en-US"/>
              </w:rPr>
            </w:pPr>
            <w:r>
              <w:rPr>
                <w:rFonts w:eastAsia="Calibri"/>
                <w:bCs/>
                <w:iCs/>
                <w:color w:val="000000" w:themeColor="text1"/>
                <w:sz w:val="20"/>
                <w:szCs w:val="20"/>
                <w:lang w:eastAsia="en-US"/>
              </w:rPr>
              <w:t>15,98</w:t>
            </w:r>
          </w:p>
        </w:tc>
        <w:tc>
          <w:tcPr>
            <w:tcW w:w="1294" w:type="dxa"/>
            <w:vAlign w:val="center"/>
          </w:tcPr>
          <w:p w:rsidR="00773E2C" w:rsidRDefault="00805665">
            <w:pPr>
              <w:autoSpaceDE w:val="0"/>
              <w:autoSpaceDN w:val="0"/>
              <w:adjustRightInd w:val="0"/>
              <w:ind w:firstLine="14"/>
              <w:jc w:val="center"/>
              <w:rPr>
                <w:rFonts w:eastAsia="Calibri"/>
                <w:bCs/>
                <w:iCs/>
                <w:color w:val="000000" w:themeColor="text1"/>
                <w:sz w:val="20"/>
                <w:szCs w:val="20"/>
                <w:lang w:eastAsia="en-US"/>
              </w:rPr>
            </w:pPr>
            <w:r>
              <w:rPr>
                <w:rFonts w:eastAsia="Calibri"/>
                <w:bCs/>
                <w:iCs/>
                <w:color w:val="000000" w:themeColor="text1"/>
                <w:sz w:val="20"/>
                <w:szCs w:val="20"/>
                <w:lang w:eastAsia="en-US"/>
              </w:rPr>
              <w:t>0,3</w:t>
            </w:r>
          </w:p>
        </w:tc>
        <w:tc>
          <w:tcPr>
            <w:tcW w:w="1295" w:type="dxa"/>
            <w:vAlign w:val="center"/>
          </w:tcPr>
          <w:p w:rsidR="00773E2C" w:rsidRDefault="00805665">
            <w:pPr>
              <w:autoSpaceDE w:val="0"/>
              <w:autoSpaceDN w:val="0"/>
              <w:adjustRightInd w:val="0"/>
              <w:ind w:firstLine="14"/>
              <w:jc w:val="center"/>
              <w:rPr>
                <w:rFonts w:eastAsia="Calibri"/>
                <w:bCs/>
                <w:iCs/>
                <w:color w:val="000000" w:themeColor="text1"/>
                <w:sz w:val="20"/>
                <w:szCs w:val="20"/>
                <w:lang w:eastAsia="en-US"/>
              </w:rPr>
            </w:pPr>
            <w:r>
              <w:rPr>
                <w:rFonts w:eastAsia="Calibri"/>
                <w:bCs/>
                <w:iCs/>
                <w:color w:val="000000" w:themeColor="text1"/>
                <w:sz w:val="20"/>
                <w:szCs w:val="20"/>
                <w:lang w:eastAsia="en-US"/>
              </w:rPr>
              <w:t>14,95</w:t>
            </w:r>
          </w:p>
        </w:tc>
      </w:tr>
      <w:tr w:rsidR="00773E2C">
        <w:trPr>
          <w:trHeight w:val="300"/>
        </w:trPr>
        <w:tc>
          <w:tcPr>
            <w:tcW w:w="1985" w:type="dxa"/>
            <w:shd w:val="clear" w:color="auto" w:fill="auto"/>
            <w:noWrap/>
            <w:vAlign w:val="bottom"/>
          </w:tcPr>
          <w:p w:rsidR="00773E2C" w:rsidRDefault="00805665">
            <w:pPr>
              <w:autoSpaceDE w:val="0"/>
              <w:autoSpaceDN w:val="0"/>
              <w:adjustRightInd w:val="0"/>
              <w:ind w:firstLine="14"/>
              <w:rPr>
                <w:rFonts w:eastAsia="Calibri"/>
                <w:bCs/>
                <w:iCs/>
                <w:color w:val="000000" w:themeColor="text1"/>
                <w:sz w:val="20"/>
                <w:szCs w:val="20"/>
                <w:lang w:eastAsia="en-US"/>
              </w:rPr>
            </w:pPr>
            <w:r>
              <w:rPr>
                <w:rFonts w:eastAsia="Calibri"/>
                <w:bCs/>
                <w:iCs/>
                <w:color w:val="000000" w:themeColor="text1"/>
                <w:sz w:val="20"/>
                <w:szCs w:val="20"/>
                <w:lang w:eastAsia="en-US"/>
              </w:rPr>
              <w:t>Огнетушители</w:t>
            </w:r>
          </w:p>
        </w:tc>
        <w:tc>
          <w:tcPr>
            <w:tcW w:w="1294" w:type="dxa"/>
            <w:shd w:val="clear" w:color="auto" w:fill="auto"/>
            <w:noWrap/>
            <w:vAlign w:val="center"/>
          </w:tcPr>
          <w:p w:rsidR="00773E2C" w:rsidRDefault="00805665">
            <w:pPr>
              <w:autoSpaceDE w:val="0"/>
              <w:autoSpaceDN w:val="0"/>
              <w:adjustRightInd w:val="0"/>
              <w:ind w:firstLine="14"/>
              <w:jc w:val="center"/>
              <w:rPr>
                <w:rFonts w:eastAsia="Calibri"/>
                <w:bCs/>
                <w:iCs/>
                <w:color w:val="000000" w:themeColor="text1"/>
                <w:sz w:val="20"/>
                <w:szCs w:val="20"/>
                <w:lang w:eastAsia="en-US"/>
              </w:rPr>
            </w:pPr>
            <w:r>
              <w:rPr>
                <w:rFonts w:eastAsia="Calibri"/>
                <w:bCs/>
                <w:iCs/>
                <w:color w:val="000000" w:themeColor="text1"/>
                <w:sz w:val="20"/>
                <w:szCs w:val="20"/>
                <w:lang w:eastAsia="en-US"/>
              </w:rPr>
              <w:t>0,00</w:t>
            </w:r>
          </w:p>
        </w:tc>
        <w:tc>
          <w:tcPr>
            <w:tcW w:w="1295" w:type="dxa"/>
            <w:shd w:val="clear" w:color="auto" w:fill="auto"/>
            <w:noWrap/>
            <w:vAlign w:val="center"/>
          </w:tcPr>
          <w:p w:rsidR="00773E2C" w:rsidRDefault="00805665">
            <w:pPr>
              <w:autoSpaceDE w:val="0"/>
              <w:autoSpaceDN w:val="0"/>
              <w:adjustRightInd w:val="0"/>
              <w:ind w:firstLine="14"/>
              <w:jc w:val="center"/>
              <w:rPr>
                <w:rFonts w:eastAsia="Calibri"/>
                <w:bCs/>
                <w:iCs/>
                <w:color w:val="000000" w:themeColor="text1"/>
                <w:sz w:val="20"/>
                <w:szCs w:val="20"/>
                <w:lang w:eastAsia="en-US"/>
              </w:rPr>
            </w:pPr>
            <w:r>
              <w:rPr>
                <w:rFonts w:eastAsia="Calibri"/>
                <w:bCs/>
                <w:iCs/>
                <w:color w:val="000000" w:themeColor="text1"/>
                <w:sz w:val="20"/>
                <w:szCs w:val="20"/>
                <w:lang w:eastAsia="en-US"/>
              </w:rPr>
              <w:t>00,00</w:t>
            </w:r>
          </w:p>
        </w:tc>
        <w:tc>
          <w:tcPr>
            <w:tcW w:w="1294" w:type="dxa"/>
            <w:shd w:val="clear" w:color="auto" w:fill="auto"/>
            <w:noWrap/>
            <w:vAlign w:val="center"/>
          </w:tcPr>
          <w:p w:rsidR="00773E2C" w:rsidRDefault="00805665">
            <w:pPr>
              <w:autoSpaceDE w:val="0"/>
              <w:autoSpaceDN w:val="0"/>
              <w:adjustRightInd w:val="0"/>
              <w:ind w:firstLine="14"/>
              <w:jc w:val="center"/>
              <w:rPr>
                <w:rFonts w:eastAsia="Calibri"/>
                <w:bCs/>
                <w:iCs/>
                <w:color w:val="000000" w:themeColor="text1"/>
                <w:sz w:val="20"/>
                <w:szCs w:val="20"/>
                <w:lang w:eastAsia="en-US"/>
              </w:rPr>
            </w:pPr>
            <w:r>
              <w:rPr>
                <w:rFonts w:eastAsia="Calibri"/>
                <w:bCs/>
                <w:iCs/>
                <w:color w:val="000000" w:themeColor="text1"/>
                <w:sz w:val="20"/>
                <w:szCs w:val="20"/>
                <w:lang w:eastAsia="en-US"/>
              </w:rPr>
              <w:t>1,62</w:t>
            </w:r>
          </w:p>
        </w:tc>
        <w:tc>
          <w:tcPr>
            <w:tcW w:w="1295" w:type="dxa"/>
            <w:shd w:val="clear" w:color="auto" w:fill="auto"/>
            <w:noWrap/>
            <w:vAlign w:val="center"/>
          </w:tcPr>
          <w:p w:rsidR="00773E2C" w:rsidRDefault="00805665">
            <w:pPr>
              <w:autoSpaceDE w:val="0"/>
              <w:autoSpaceDN w:val="0"/>
              <w:adjustRightInd w:val="0"/>
              <w:ind w:firstLine="14"/>
              <w:jc w:val="center"/>
              <w:rPr>
                <w:rFonts w:eastAsia="Calibri"/>
                <w:bCs/>
                <w:iCs/>
                <w:color w:val="000000" w:themeColor="text1"/>
                <w:sz w:val="20"/>
                <w:szCs w:val="20"/>
                <w:lang w:eastAsia="en-US"/>
              </w:rPr>
            </w:pPr>
            <w:r>
              <w:rPr>
                <w:rFonts w:eastAsia="Calibri"/>
                <w:bCs/>
                <w:iCs/>
                <w:color w:val="000000" w:themeColor="text1"/>
                <w:sz w:val="20"/>
                <w:szCs w:val="20"/>
                <w:lang w:eastAsia="en-US"/>
              </w:rPr>
              <w:t>1 105,50</w:t>
            </w:r>
          </w:p>
        </w:tc>
        <w:tc>
          <w:tcPr>
            <w:tcW w:w="1294" w:type="dxa"/>
            <w:vAlign w:val="center"/>
          </w:tcPr>
          <w:p w:rsidR="00773E2C" w:rsidRDefault="00805665">
            <w:pPr>
              <w:autoSpaceDE w:val="0"/>
              <w:autoSpaceDN w:val="0"/>
              <w:adjustRightInd w:val="0"/>
              <w:ind w:firstLine="14"/>
              <w:jc w:val="center"/>
              <w:rPr>
                <w:rFonts w:eastAsia="Calibri"/>
                <w:bCs/>
                <w:iCs/>
                <w:color w:val="000000" w:themeColor="text1"/>
                <w:sz w:val="20"/>
                <w:szCs w:val="20"/>
                <w:lang w:val="en-US" w:eastAsia="en-US"/>
              </w:rPr>
            </w:pPr>
            <w:r>
              <w:rPr>
                <w:rFonts w:eastAsia="Calibri"/>
                <w:bCs/>
                <w:iCs/>
                <w:color w:val="000000" w:themeColor="text1"/>
                <w:sz w:val="20"/>
                <w:szCs w:val="20"/>
                <w:lang w:val="en-US" w:eastAsia="en-US"/>
              </w:rPr>
              <w:t>0</w:t>
            </w:r>
          </w:p>
        </w:tc>
        <w:tc>
          <w:tcPr>
            <w:tcW w:w="1295" w:type="dxa"/>
            <w:vAlign w:val="center"/>
          </w:tcPr>
          <w:p w:rsidR="00773E2C" w:rsidRDefault="00805665">
            <w:pPr>
              <w:autoSpaceDE w:val="0"/>
              <w:autoSpaceDN w:val="0"/>
              <w:adjustRightInd w:val="0"/>
              <w:ind w:firstLine="14"/>
              <w:jc w:val="center"/>
              <w:rPr>
                <w:rFonts w:eastAsia="Calibri"/>
                <w:bCs/>
                <w:iCs/>
                <w:color w:val="000000" w:themeColor="text1"/>
                <w:sz w:val="20"/>
                <w:szCs w:val="20"/>
                <w:lang w:val="en-US" w:eastAsia="en-US"/>
              </w:rPr>
            </w:pPr>
            <w:r>
              <w:rPr>
                <w:rFonts w:eastAsia="Calibri"/>
                <w:bCs/>
                <w:iCs/>
                <w:color w:val="000000" w:themeColor="text1"/>
                <w:sz w:val="20"/>
                <w:szCs w:val="20"/>
                <w:lang w:val="en-US" w:eastAsia="en-US"/>
              </w:rPr>
              <w:t>0</w:t>
            </w:r>
          </w:p>
        </w:tc>
      </w:tr>
      <w:tr w:rsidR="00773E2C">
        <w:trPr>
          <w:trHeight w:val="300"/>
        </w:trPr>
        <w:tc>
          <w:tcPr>
            <w:tcW w:w="1985" w:type="dxa"/>
            <w:shd w:val="clear" w:color="auto" w:fill="auto"/>
            <w:noWrap/>
            <w:vAlign w:val="bottom"/>
          </w:tcPr>
          <w:p w:rsidR="00773E2C" w:rsidRDefault="00805665">
            <w:pPr>
              <w:autoSpaceDE w:val="0"/>
              <w:autoSpaceDN w:val="0"/>
              <w:adjustRightInd w:val="0"/>
              <w:ind w:firstLine="14"/>
              <w:rPr>
                <w:rFonts w:eastAsia="Calibri"/>
                <w:bCs/>
                <w:iCs/>
                <w:color w:val="000000" w:themeColor="text1"/>
                <w:sz w:val="20"/>
                <w:szCs w:val="20"/>
                <w:lang w:eastAsia="en-US"/>
              </w:rPr>
            </w:pPr>
            <w:r>
              <w:rPr>
                <w:rFonts w:eastAsia="Calibri"/>
                <w:bCs/>
                <w:iCs/>
                <w:color w:val="000000" w:themeColor="text1"/>
                <w:sz w:val="20"/>
                <w:szCs w:val="20"/>
                <w:lang w:eastAsia="en-US"/>
              </w:rPr>
              <w:t>Бумага, картон</w:t>
            </w:r>
          </w:p>
        </w:tc>
        <w:tc>
          <w:tcPr>
            <w:tcW w:w="1294" w:type="dxa"/>
            <w:shd w:val="clear" w:color="auto" w:fill="auto"/>
            <w:noWrap/>
            <w:vAlign w:val="center"/>
          </w:tcPr>
          <w:p w:rsidR="00773E2C" w:rsidRDefault="00805665">
            <w:pPr>
              <w:autoSpaceDE w:val="0"/>
              <w:autoSpaceDN w:val="0"/>
              <w:adjustRightInd w:val="0"/>
              <w:ind w:firstLine="14"/>
              <w:jc w:val="center"/>
              <w:rPr>
                <w:rFonts w:eastAsia="Calibri"/>
                <w:bCs/>
                <w:iCs/>
                <w:color w:val="000000" w:themeColor="text1"/>
                <w:sz w:val="20"/>
                <w:szCs w:val="20"/>
                <w:lang w:eastAsia="en-US"/>
              </w:rPr>
            </w:pPr>
            <w:r>
              <w:rPr>
                <w:rFonts w:eastAsia="Calibri"/>
                <w:bCs/>
                <w:iCs/>
                <w:color w:val="000000" w:themeColor="text1"/>
                <w:sz w:val="20"/>
                <w:szCs w:val="20"/>
                <w:lang w:eastAsia="en-US"/>
              </w:rPr>
              <w:t>187,44</w:t>
            </w:r>
          </w:p>
        </w:tc>
        <w:tc>
          <w:tcPr>
            <w:tcW w:w="1295" w:type="dxa"/>
            <w:shd w:val="clear" w:color="auto" w:fill="auto"/>
            <w:noWrap/>
            <w:vAlign w:val="center"/>
          </w:tcPr>
          <w:p w:rsidR="00773E2C" w:rsidRDefault="00805665">
            <w:pPr>
              <w:autoSpaceDE w:val="0"/>
              <w:autoSpaceDN w:val="0"/>
              <w:adjustRightInd w:val="0"/>
              <w:ind w:firstLine="14"/>
              <w:jc w:val="center"/>
              <w:rPr>
                <w:rFonts w:eastAsia="Calibri"/>
                <w:bCs/>
                <w:iCs/>
                <w:color w:val="000000" w:themeColor="text1"/>
                <w:sz w:val="20"/>
                <w:szCs w:val="20"/>
                <w:lang w:eastAsia="en-US"/>
              </w:rPr>
            </w:pPr>
            <w:r>
              <w:rPr>
                <w:rFonts w:eastAsia="Calibri"/>
                <w:bCs/>
                <w:iCs/>
                <w:color w:val="000000" w:themeColor="text1"/>
                <w:sz w:val="20"/>
                <w:szCs w:val="20"/>
                <w:lang w:eastAsia="en-US"/>
              </w:rPr>
              <w:t>217,60</w:t>
            </w:r>
          </w:p>
        </w:tc>
        <w:tc>
          <w:tcPr>
            <w:tcW w:w="1294" w:type="dxa"/>
            <w:shd w:val="clear" w:color="auto" w:fill="auto"/>
            <w:noWrap/>
            <w:vAlign w:val="center"/>
          </w:tcPr>
          <w:p w:rsidR="00773E2C" w:rsidRDefault="00805665">
            <w:pPr>
              <w:autoSpaceDE w:val="0"/>
              <w:autoSpaceDN w:val="0"/>
              <w:adjustRightInd w:val="0"/>
              <w:ind w:firstLine="14"/>
              <w:jc w:val="center"/>
              <w:rPr>
                <w:rFonts w:eastAsia="Calibri"/>
                <w:bCs/>
                <w:iCs/>
                <w:color w:val="000000" w:themeColor="text1"/>
                <w:sz w:val="20"/>
                <w:szCs w:val="20"/>
                <w:lang w:eastAsia="en-US"/>
              </w:rPr>
            </w:pPr>
            <w:r>
              <w:rPr>
                <w:rFonts w:eastAsia="Calibri"/>
                <w:bCs/>
                <w:iCs/>
                <w:color w:val="000000" w:themeColor="text1"/>
                <w:sz w:val="20"/>
                <w:szCs w:val="20"/>
                <w:lang w:eastAsia="en-US"/>
              </w:rPr>
              <w:t>37,51</w:t>
            </w:r>
          </w:p>
        </w:tc>
        <w:tc>
          <w:tcPr>
            <w:tcW w:w="1295" w:type="dxa"/>
            <w:shd w:val="clear" w:color="auto" w:fill="auto"/>
            <w:noWrap/>
            <w:vAlign w:val="center"/>
          </w:tcPr>
          <w:p w:rsidR="00773E2C" w:rsidRDefault="00805665">
            <w:pPr>
              <w:autoSpaceDE w:val="0"/>
              <w:autoSpaceDN w:val="0"/>
              <w:adjustRightInd w:val="0"/>
              <w:ind w:firstLine="14"/>
              <w:jc w:val="center"/>
              <w:rPr>
                <w:rFonts w:eastAsia="Calibri"/>
                <w:bCs/>
                <w:iCs/>
                <w:color w:val="000000" w:themeColor="text1"/>
                <w:sz w:val="20"/>
                <w:szCs w:val="20"/>
                <w:lang w:eastAsia="en-US"/>
              </w:rPr>
            </w:pPr>
            <w:r>
              <w:rPr>
                <w:rFonts w:eastAsia="Calibri"/>
                <w:bCs/>
                <w:iCs/>
                <w:color w:val="000000" w:themeColor="text1"/>
                <w:sz w:val="20"/>
                <w:szCs w:val="20"/>
                <w:lang w:eastAsia="en-US"/>
              </w:rPr>
              <w:t>127,55</w:t>
            </w:r>
          </w:p>
        </w:tc>
        <w:tc>
          <w:tcPr>
            <w:tcW w:w="1294" w:type="dxa"/>
            <w:vAlign w:val="center"/>
          </w:tcPr>
          <w:p w:rsidR="00773E2C" w:rsidRDefault="00805665">
            <w:pPr>
              <w:autoSpaceDE w:val="0"/>
              <w:autoSpaceDN w:val="0"/>
              <w:adjustRightInd w:val="0"/>
              <w:ind w:firstLine="14"/>
              <w:jc w:val="center"/>
              <w:rPr>
                <w:rFonts w:eastAsia="Calibri"/>
                <w:bCs/>
                <w:iCs/>
                <w:color w:val="000000" w:themeColor="text1"/>
                <w:sz w:val="20"/>
                <w:szCs w:val="20"/>
                <w:lang w:eastAsia="en-US"/>
              </w:rPr>
            </w:pPr>
            <w:r>
              <w:rPr>
                <w:rFonts w:eastAsia="Calibri"/>
                <w:bCs/>
                <w:iCs/>
                <w:color w:val="000000" w:themeColor="text1"/>
                <w:sz w:val="20"/>
                <w:szCs w:val="20"/>
                <w:lang w:eastAsia="en-US"/>
              </w:rPr>
              <w:t>36,14</w:t>
            </w:r>
          </w:p>
        </w:tc>
        <w:tc>
          <w:tcPr>
            <w:tcW w:w="1295" w:type="dxa"/>
            <w:vAlign w:val="center"/>
          </w:tcPr>
          <w:p w:rsidR="00773E2C" w:rsidRDefault="00805665">
            <w:pPr>
              <w:autoSpaceDE w:val="0"/>
              <w:autoSpaceDN w:val="0"/>
              <w:adjustRightInd w:val="0"/>
              <w:ind w:firstLine="14"/>
              <w:jc w:val="center"/>
              <w:rPr>
                <w:rFonts w:eastAsia="Calibri"/>
                <w:bCs/>
                <w:iCs/>
                <w:color w:val="000000" w:themeColor="text1"/>
                <w:sz w:val="20"/>
                <w:szCs w:val="20"/>
                <w:lang w:eastAsia="en-US"/>
              </w:rPr>
            </w:pPr>
            <w:r>
              <w:rPr>
                <w:rFonts w:eastAsia="Calibri"/>
                <w:bCs/>
                <w:iCs/>
                <w:color w:val="000000" w:themeColor="text1"/>
                <w:sz w:val="20"/>
                <w:szCs w:val="20"/>
                <w:lang w:eastAsia="en-US"/>
              </w:rPr>
              <w:t>122,89</w:t>
            </w:r>
          </w:p>
        </w:tc>
      </w:tr>
      <w:tr w:rsidR="00773E2C">
        <w:trPr>
          <w:trHeight w:val="600"/>
        </w:trPr>
        <w:tc>
          <w:tcPr>
            <w:tcW w:w="1985" w:type="dxa"/>
            <w:shd w:val="clear" w:color="auto" w:fill="auto"/>
            <w:vAlign w:val="bottom"/>
          </w:tcPr>
          <w:p w:rsidR="00773E2C" w:rsidRDefault="00805665">
            <w:pPr>
              <w:autoSpaceDE w:val="0"/>
              <w:autoSpaceDN w:val="0"/>
              <w:adjustRightInd w:val="0"/>
              <w:ind w:firstLine="14"/>
              <w:rPr>
                <w:rFonts w:eastAsia="Calibri"/>
                <w:bCs/>
                <w:iCs/>
                <w:color w:val="000000" w:themeColor="text1"/>
                <w:sz w:val="20"/>
                <w:szCs w:val="20"/>
                <w:lang w:eastAsia="en-US"/>
              </w:rPr>
            </w:pPr>
            <w:r>
              <w:rPr>
                <w:rFonts w:eastAsia="Calibri"/>
                <w:bCs/>
                <w:iCs/>
                <w:color w:val="000000" w:themeColor="text1"/>
                <w:sz w:val="20"/>
                <w:szCs w:val="20"/>
                <w:lang w:eastAsia="en-US"/>
              </w:rPr>
              <w:t>Твердые коммунальные отходы и отходы производства и потребления</w:t>
            </w:r>
          </w:p>
        </w:tc>
        <w:tc>
          <w:tcPr>
            <w:tcW w:w="1294" w:type="dxa"/>
            <w:shd w:val="clear" w:color="auto" w:fill="auto"/>
            <w:noWrap/>
            <w:vAlign w:val="center"/>
          </w:tcPr>
          <w:p w:rsidR="00773E2C" w:rsidRDefault="00805665">
            <w:pPr>
              <w:autoSpaceDE w:val="0"/>
              <w:autoSpaceDN w:val="0"/>
              <w:adjustRightInd w:val="0"/>
              <w:ind w:firstLine="14"/>
              <w:jc w:val="center"/>
              <w:rPr>
                <w:rFonts w:eastAsia="Calibri"/>
                <w:bCs/>
                <w:iCs/>
                <w:color w:val="000000" w:themeColor="text1"/>
                <w:sz w:val="20"/>
                <w:szCs w:val="20"/>
                <w:lang w:eastAsia="en-US"/>
              </w:rPr>
            </w:pPr>
            <w:r>
              <w:rPr>
                <w:rFonts w:eastAsia="Calibri"/>
                <w:bCs/>
                <w:iCs/>
                <w:color w:val="000000" w:themeColor="text1"/>
                <w:sz w:val="20"/>
                <w:szCs w:val="20"/>
                <w:lang w:eastAsia="en-US"/>
              </w:rPr>
              <w:t>1947,49</w:t>
            </w:r>
          </w:p>
        </w:tc>
        <w:tc>
          <w:tcPr>
            <w:tcW w:w="1295" w:type="dxa"/>
            <w:shd w:val="clear" w:color="auto" w:fill="auto"/>
            <w:noWrap/>
            <w:vAlign w:val="center"/>
          </w:tcPr>
          <w:p w:rsidR="00773E2C" w:rsidRDefault="00805665">
            <w:pPr>
              <w:autoSpaceDE w:val="0"/>
              <w:autoSpaceDN w:val="0"/>
              <w:adjustRightInd w:val="0"/>
              <w:ind w:firstLine="14"/>
              <w:jc w:val="center"/>
              <w:rPr>
                <w:rFonts w:eastAsia="Calibri"/>
                <w:bCs/>
                <w:iCs/>
                <w:color w:val="000000" w:themeColor="text1"/>
                <w:sz w:val="20"/>
                <w:szCs w:val="20"/>
                <w:lang w:eastAsia="en-US"/>
              </w:rPr>
            </w:pPr>
            <w:r>
              <w:rPr>
                <w:rFonts w:eastAsia="Calibri"/>
                <w:bCs/>
                <w:iCs/>
                <w:color w:val="000000" w:themeColor="text1"/>
                <w:sz w:val="20"/>
                <w:szCs w:val="20"/>
                <w:lang w:eastAsia="en-US"/>
              </w:rPr>
              <w:t>5924,67</w:t>
            </w:r>
          </w:p>
        </w:tc>
        <w:tc>
          <w:tcPr>
            <w:tcW w:w="1294" w:type="dxa"/>
            <w:shd w:val="clear" w:color="auto" w:fill="auto"/>
            <w:noWrap/>
            <w:vAlign w:val="center"/>
          </w:tcPr>
          <w:p w:rsidR="00773E2C" w:rsidRDefault="00805665">
            <w:pPr>
              <w:autoSpaceDE w:val="0"/>
              <w:autoSpaceDN w:val="0"/>
              <w:adjustRightInd w:val="0"/>
              <w:ind w:firstLine="14"/>
              <w:jc w:val="center"/>
              <w:rPr>
                <w:rFonts w:eastAsia="Calibri"/>
                <w:bCs/>
                <w:iCs/>
                <w:color w:val="000000" w:themeColor="text1"/>
                <w:sz w:val="20"/>
                <w:szCs w:val="20"/>
                <w:lang w:eastAsia="en-US"/>
              </w:rPr>
            </w:pPr>
            <w:r>
              <w:rPr>
                <w:rFonts w:eastAsia="Calibri"/>
                <w:bCs/>
                <w:iCs/>
                <w:color w:val="000000" w:themeColor="text1"/>
                <w:sz w:val="20"/>
                <w:szCs w:val="20"/>
                <w:lang w:eastAsia="en-US"/>
              </w:rPr>
              <w:t>2 067,66</w:t>
            </w:r>
          </w:p>
        </w:tc>
        <w:tc>
          <w:tcPr>
            <w:tcW w:w="1295" w:type="dxa"/>
            <w:shd w:val="clear" w:color="auto" w:fill="auto"/>
            <w:noWrap/>
            <w:vAlign w:val="center"/>
          </w:tcPr>
          <w:p w:rsidR="00773E2C" w:rsidRDefault="00805665">
            <w:pPr>
              <w:autoSpaceDE w:val="0"/>
              <w:autoSpaceDN w:val="0"/>
              <w:adjustRightInd w:val="0"/>
              <w:ind w:firstLine="14"/>
              <w:jc w:val="center"/>
              <w:rPr>
                <w:rFonts w:eastAsia="Calibri"/>
                <w:bCs/>
                <w:iCs/>
                <w:color w:val="000000" w:themeColor="text1"/>
                <w:sz w:val="20"/>
                <w:szCs w:val="20"/>
                <w:lang w:eastAsia="en-US"/>
              </w:rPr>
            </w:pPr>
            <w:r>
              <w:rPr>
                <w:rFonts w:eastAsia="Calibri"/>
                <w:bCs/>
                <w:iCs/>
                <w:color w:val="000000" w:themeColor="text1"/>
                <w:sz w:val="20"/>
                <w:szCs w:val="20"/>
                <w:lang w:eastAsia="en-US"/>
              </w:rPr>
              <w:t>3 968,21</w:t>
            </w:r>
          </w:p>
        </w:tc>
        <w:tc>
          <w:tcPr>
            <w:tcW w:w="1294" w:type="dxa"/>
            <w:vAlign w:val="center"/>
          </w:tcPr>
          <w:p w:rsidR="00773E2C" w:rsidRDefault="00805665">
            <w:pPr>
              <w:jc w:val="center"/>
              <w:rPr>
                <w:rFonts w:eastAsia="Calibri"/>
                <w:sz w:val="20"/>
                <w:szCs w:val="20"/>
                <w:lang w:eastAsia="en-US"/>
              </w:rPr>
            </w:pPr>
            <w:r>
              <w:rPr>
                <w:rFonts w:eastAsia="Calibri"/>
                <w:bCs/>
                <w:iCs/>
                <w:color w:val="000000" w:themeColor="text1"/>
                <w:sz w:val="20"/>
                <w:szCs w:val="20"/>
                <w:lang w:eastAsia="en-US"/>
              </w:rPr>
              <w:t>2016,57</w:t>
            </w:r>
          </w:p>
        </w:tc>
        <w:tc>
          <w:tcPr>
            <w:tcW w:w="1295" w:type="dxa"/>
            <w:vAlign w:val="center"/>
          </w:tcPr>
          <w:p w:rsidR="00773E2C" w:rsidRDefault="00805665">
            <w:pPr>
              <w:autoSpaceDE w:val="0"/>
              <w:autoSpaceDN w:val="0"/>
              <w:adjustRightInd w:val="0"/>
              <w:ind w:firstLine="14"/>
              <w:jc w:val="center"/>
              <w:rPr>
                <w:rFonts w:eastAsia="Calibri"/>
                <w:bCs/>
                <w:iCs/>
                <w:color w:val="000000" w:themeColor="text1"/>
                <w:sz w:val="20"/>
                <w:szCs w:val="20"/>
                <w:lang w:eastAsia="en-US"/>
              </w:rPr>
            </w:pPr>
            <w:r>
              <w:rPr>
                <w:rFonts w:eastAsia="Calibri"/>
                <w:bCs/>
                <w:iCs/>
                <w:color w:val="000000" w:themeColor="text1"/>
                <w:sz w:val="20"/>
                <w:szCs w:val="20"/>
                <w:lang w:eastAsia="en-US"/>
              </w:rPr>
              <w:t>3870,16</w:t>
            </w:r>
          </w:p>
        </w:tc>
      </w:tr>
    </w:tbl>
    <w:p w:rsidR="00773E2C" w:rsidRDefault="00773E2C">
      <w:pPr>
        <w:autoSpaceDE w:val="0"/>
        <w:autoSpaceDN w:val="0"/>
        <w:adjustRightInd w:val="0"/>
        <w:ind w:firstLine="567"/>
        <w:jc w:val="both"/>
        <w:rPr>
          <w:color w:val="000000" w:themeColor="text1"/>
          <w:sz w:val="20"/>
        </w:rPr>
      </w:pPr>
    </w:p>
    <w:p w:rsidR="00773E2C" w:rsidRDefault="00805665">
      <w:pPr>
        <w:ind w:firstLine="567"/>
        <w:jc w:val="both"/>
        <w:rPr>
          <w:color w:val="000000"/>
          <w:sz w:val="22"/>
        </w:rPr>
      </w:pPr>
      <w:r>
        <w:rPr>
          <w:color w:val="000000"/>
          <w:sz w:val="22"/>
        </w:rPr>
        <w:t>Снижение в отчетном году числа утилизируемого оборудования и ИТ-техники носит плановый характер и связано с отсутствием запланированных на отчетный год масштабных программ по утилизации.</w:t>
      </w:r>
    </w:p>
    <w:p w:rsidR="00773E2C" w:rsidRDefault="00773E2C">
      <w:pPr>
        <w:spacing w:line="259" w:lineRule="auto"/>
        <w:ind w:firstLine="567"/>
        <w:jc w:val="both"/>
        <w:rPr>
          <w:color w:val="000000" w:themeColor="text1"/>
          <w:sz w:val="18"/>
        </w:rPr>
      </w:pPr>
    </w:p>
    <w:p w:rsidR="00773E2C" w:rsidRDefault="00805665">
      <w:pPr>
        <w:keepNext/>
        <w:ind w:firstLine="567"/>
        <w:jc w:val="both"/>
        <w:outlineLvl w:val="1"/>
        <w:rPr>
          <w:b/>
          <w:bCs/>
          <w:sz w:val="22"/>
          <w:szCs w:val="22"/>
        </w:rPr>
      </w:pPr>
      <w:bookmarkStart w:id="37" w:name="_Toc229052205"/>
      <w:r>
        <w:rPr>
          <w:b/>
          <w:bCs/>
          <w:sz w:val="22"/>
          <w:szCs w:val="22"/>
        </w:rPr>
        <w:lastRenderedPageBreak/>
        <w:t>5.2</w:t>
      </w:r>
      <w:r w:rsidR="00BA1417">
        <w:rPr>
          <w:b/>
          <w:bCs/>
          <w:sz w:val="22"/>
          <w:szCs w:val="22"/>
        </w:rPr>
        <w:t>.</w:t>
      </w:r>
      <w:r>
        <w:rPr>
          <w:b/>
          <w:bCs/>
          <w:sz w:val="22"/>
          <w:szCs w:val="22"/>
        </w:rPr>
        <w:t> Социальные аспекты деятельности</w:t>
      </w:r>
      <w:bookmarkEnd w:id="37"/>
    </w:p>
    <w:p w:rsidR="00773E2C" w:rsidRDefault="00773E2C">
      <w:pPr>
        <w:ind w:firstLine="567"/>
        <w:jc w:val="both"/>
        <w:rPr>
          <w:color w:val="000000"/>
          <w:sz w:val="22"/>
        </w:rPr>
      </w:pPr>
    </w:p>
    <w:p w:rsidR="00773E2C" w:rsidRDefault="00805665">
      <w:pPr>
        <w:ind w:firstLine="567"/>
        <w:jc w:val="both"/>
        <w:rPr>
          <w:b/>
          <w:iCs/>
          <w:color w:val="000000"/>
          <w:sz w:val="22"/>
        </w:rPr>
      </w:pPr>
      <w:r>
        <w:rPr>
          <w:b/>
          <w:iCs/>
          <w:color w:val="000000"/>
          <w:sz w:val="22"/>
        </w:rPr>
        <w:t>ЦУР 8 «Достойная работа и экономический рост»</w:t>
      </w:r>
    </w:p>
    <w:p w:rsidR="00773E2C" w:rsidRDefault="00773E2C">
      <w:pPr>
        <w:ind w:firstLine="567"/>
        <w:jc w:val="both"/>
        <w:rPr>
          <w:color w:val="000000"/>
        </w:rPr>
      </w:pPr>
    </w:p>
    <w:p w:rsidR="00773E2C" w:rsidRDefault="00805665">
      <w:pPr>
        <w:ind w:firstLine="567"/>
        <w:jc w:val="both"/>
        <w:rPr>
          <w:color w:val="000000"/>
          <w:sz w:val="22"/>
          <w:szCs w:val="22"/>
        </w:rPr>
      </w:pPr>
      <w:r>
        <w:rPr>
          <w:color w:val="000000"/>
          <w:sz w:val="22"/>
          <w:szCs w:val="22"/>
        </w:rPr>
        <w:t>Банк осуществляет свою деятельность на основе уважения и соблюдения прав человека, соблюдения прав женщин, людей с ограниченными возможностями здоровья и инвалидов. Для Банка является неприемлемым использование принудительного и детского труда, дискриминация в сфере трудовых отношений, создание опасных условий труда.</w:t>
      </w:r>
    </w:p>
    <w:p w:rsidR="00773E2C" w:rsidRDefault="00805665">
      <w:pPr>
        <w:ind w:firstLine="567"/>
        <w:jc w:val="both"/>
        <w:rPr>
          <w:color w:val="000000"/>
          <w:sz w:val="22"/>
          <w:szCs w:val="22"/>
        </w:rPr>
      </w:pPr>
      <w:r>
        <w:rPr>
          <w:color w:val="000000"/>
          <w:sz w:val="22"/>
          <w:szCs w:val="22"/>
        </w:rPr>
        <w:t>В отношении своих работников Банк проводит социальную политику, основными целями и задачами которой являются:</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обеспечение социальной защищенности работников;</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содействие в укреплении здоровья работников и профилактика заболеваний;</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формирование и поддержание благоприятной социальной атмосферы в коллективе;</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создание благоприятных условий для повышения лояльности и приверженности Банку;</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адаптация работников при возобновлении трудовой деятельности после длительного периода отсутствия.</w:t>
      </w:r>
    </w:p>
    <w:p w:rsidR="00773E2C" w:rsidRDefault="00805665">
      <w:pPr>
        <w:ind w:firstLine="567"/>
        <w:jc w:val="both"/>
        <w:rPr>
          <w:color w:val="000000"/>
          <w:sz w:val="22"/>
          <w:szCs w:val="22"/>
        </w:rPr>
      </w:pPr>
      <w:r>
        <w:rPr>
          <w:color w:val="000000"/>
          <w:sz w:val="22"/>
        </w:rPr>
        <w:t>Основной принцип социальной политики Банка в отношении работников заключается в социальной ориентированности, предусматривающей создание необходимых условий для эффективной трудовой деятельности, и учет интересов персонала.</w:t>
      </w:r>
    </w:p>
    <w:p w:rsidR="00773E2C" w:rsidRDefault="00805665">
      <w:pPr>
        <w:ind w:firstLine="567"/>
        <w:jc w:val="both"/>
        <w:rPr>
          <w:color w:val="000000"/>
          <w:sz w:val="22"/>
          <w:szCs w:val="22"/>
        </w:rPr>
      </w:pPr>
      <w:r>
        <w:rPr>
          <w:color w:val="000000"/>
          <w:sz w:val="22"/>
          <w:szCs w:val="22"/>
        </w:rPr>
        <w:t xml:space="preserve">Помимо льгот, гарантий и компенсаций, предусмотренных действующим законодательством Российской Федерации, Банк, реализуя свою социальную политику, осуществляет: </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добровольное медицинское страхование (ДМС) работников Банка;</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предоставление ДМС по корпоративным условиям для родственников работников;</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оказание медицинской консультации врачом в офисе;</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страхование работников Банка от несчастных случаев;</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ежегодную вакцинацию работников Банка против гриппа;</w:t>
      </w:r>
    </w:p>
    <w:p w:rsidR="00773E2C" w:rsidRDefault="00805665">
      <w:pPr>
        <w:numPr>
          <w:ilvl w:val="0"/>
          <w:numId w:val="22"/>
        </w:numPr>
        <w:tabs>
          <w:tab w:val="left" w:pos="851"/>
        </w:tabs>
        <w:autoSpaceDE w:val="0"/>
        <w:autoSpaceDN w:val="0"/>
        <w:adjustRightInd w:val="0"/>
        <w:ind w:left="851" w:hanging="284"/>
        <w:jc w:val="both"/>
        <w:rPr>
          <w:sz w:val="22"/>
        </w:rPr>
      </w:pPr>
      <w:r>
        <w:rPr>
          <w:sz w:val="22"/>
          <w:szCs w:val="22"/>
        </w:rPr>
        <w:t>диспансеризацию в офисе отдельных категорий работников;</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 xml:space="preserve">организацию психологической помощи работникам через партнера ДМС; </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доплату по листкам нетрудоспособности;</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выплату материальной помощи;</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доступ к привилегиям от партнеров Банка;</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предоставление дополнительных дней отдыха</w:t>
      </w:r>
      <w:r>
        <w:rPr>
          <w:sz w:val="22"/>
        </w:rPr>
        <w:t>.</w:t>
      </w:r>
    </w:p>
    <w:p w:rsidR="00773E2C" w:rsidRDefault="00805665">
      <w:pPr>
        <w:ind w:firstLine="567"/>
        <w:jc w:val="both"/>
        <w:rPr>
          <w:color w:val="000000"/>
          <w:sz w:val="22"/>
          <w:szCs w:val="22"/>
        </w:rPr>
      </w:pPr>
      <w:r>
        <w:rPr>
          <w:color w:val="000000"/>
          <w:sz w:val="22"/>
          <w:szCs w:val="22"/>
        </w:rPr>
        <w:t>Особое внимание в Банке уделяется вопросам охраны труда, в том числе обеспечению безопасных условий труда на рабочих местах и снижению травматизма. Для этого:</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на регулярной основе в Банке проводятся обучение и инструктажи работников по вопросам охраны труда, в 2025 году проведено обучение 860 работников;</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расследуются и учитываются несчастные случаи и микроповреждения, в 2025 году коэффициент частоты травматизма составил 0,3;</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контролируются и анализируются условия труда;</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выполняется идентификация, оценка и управление профессиональными рисками;</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проводится специальная оценка условий труда, в 2025 году проведена оценка 4183 рабочих мест;</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 xml:space="preserve">организуются и проводятся обязательные медицинские осмотры (предварительные, периодические, </w:t>
      </w:r>
      <w:proofErr w:type="spellStart"/>
      <w:r>
        <w:rPr>
          <w:sz w:val="22"/>
          <w:szCs w:val="22"/>
        </w:rPr>
        <w:t>предрейсовые</w:t>
      </w:r>
      <w:proofErr w:type="spellEnd"/>
      <w:r>
        <w:rPr>
          <w:sz w:val="22"/>
          <w:szCs w:val="22"/>
        </w:rPr>
        <w:t>), психиатрические освидетельствования, в 2025 году медицинские осмотры были проведены для 235 работников;</w:t>
      </w:r>
    </w:p>
    <w:p w:rsidR="00773E2C" w:rsidRDefault="00805665">
      <w:pPr>
        <w:numPr>
          <w:ilvl w:val="0"/>
          <w:numId w:val="22"/>
        </w:numPr>
        <w:tabs>
          <w:tab w:val="left" w:pos="851"/>
        </w:tabs>
        <w:autoSpaceDE w:val="0"/>
        <w:autoSpaceDN w:val="0"/>
        <w:adjustRightInd w:val="0"/>
        <w:ind w:left="851" w:hanging="284"/>
        <w:jc w:val="both"/>
        <w:rPr>
          <w:sz w:val="22"/>
          <w:szCs w:val="22"/>
        </w:rPr>
      </w:pPr>
      <w:r>
        <w:rPr>
          <w:sz w:val="22"/>
          <w:szCs w:val="22"/>
        </w:rPr>
        <w:t>в Банке организовано обеспечение работников средствами коллективной и индивидуальной защиты.</w:t>
      </w:r>
    </w:p>
    <w:p w:rsidR="00773E2C" w:rsidRDefault="00805665">
      <w:pPr>
        <w:ind w:firstLine="567"/>
        <w:jc w:val="both"/>
        <w:rPr>
          <w:color w:val="000000"/>
          <w:sz w:val="22"/>
        </w:rPr>
      </w:pPr>
      <w:r>
        <w:rPr>
          <w:color w:val="000000"/>
          <w:sz w:val="22"/>
        </w:rPr>
        <w:t>В ПАО «БАНК УРАЛСИБ» на 01.01.2026 штатная численность составляет 9401 работник (включая внешних совместителей и находящихся в отпуске по беременности и родам или по уходу за ребенком), среди них нет ни одного, работающего во вредных или опасных условиях труда. В 2025 году средняя списочная численность работников составила 8 219 человек, фактическая на конец года – 8271 человек (не включая внешних совместителей и находящихся в отпуске по беременности и родам или по уходу за ребенком).</w:t>
      </w:r>
    </w:p>
    <w:p w:rsidR="00773E2C" w:rsidRDefault="00805665">
      <w:pPr>
        <w:ind w:firstLine="567"/>
        <w:jc w:val="both"/>
        <w:rPr>
          <w:color w:val="000000"/>
          <w:sz w:val="22"/>
        </w:rPr>
      </w:pPr>
      <w:r>
        <w:rPr>
          <w:color w:val="000000"/>
          <w:sz w:val="22"/>
        </w:rPr>
        <w:t>В целом по Банку процент работников женского пола превышает процент работников мужского пола: процент женщин составляет 68%, а мужчин – 32%. Средний возраст работников составляет 39 лет, при этом средний возраст женщин составляет 39 лет, средний возраст мужчин – 40 лет.</w:t>
      </w:r>
    </w:p>
    <w:p w:rsidR="00773E2C" w:rsidRDefault="00805665">
      <w:pPr>
        <w:ind w:firstLine="567"/>
        <w:jc w:val="both"/>
        <w:rPr>
          <w:color w:val="000000"/>
          <w:sz w:val="22"/>
          <w:szCs w:val="22"/>
        </w:rPr>
      </w:pPr>
      <w:r>
        <w:rPr>
          <w:color w:val="000000"/>
          <w:sz w:val="22"/>
        </w:rPr>
        <w:lastRenderedPageBreak/>
        <w:t>Текучесть кадров по итогам 2025 года составила 31,2%, что на 8,8% меньше показателя 2024 года. В 2025 году по собственному желанию уволился 2561 работник, из которых 1912 – женщины и 649 – мужчины. Число принятых в отчетном году новых работников составило 3071 человек (2197 женщин и 874 мужчин).</w:t>
      </w:r>
    </w:p>
    <w:p w:rsidR="00773E2C" w:rsidRDefault="00805665">
      <w:pPr>
        <w:ind w:firstLine="567"/>
        <w:jc w:val="both"/>
        <w:rPr>
          <w:color w:val="000000"/>
          <w:sz w:val="22"/>
        </w:rPr>
      </w:pPr>
      <w:r>
        <w:rPr>
          <w:color w:val="000000"/>
          <w:sz w:val="22"/>
        </w:rPr>
        <w:t>Банк уделяет большое внимание качеству привлекаемого персонала и его развитию.</w:t>
      </w:r>
    </w:p>
    <w:p w:rsidR="00773E2C" w:rsidRDefault="00805665">
      <w:pPr>
        <w:ind w:firstLine="567"/>
        <w:jc w:val="both"/>
        <w:rPr>
          <w:color w:val="000000"/>
          <w:sz w:val="22"/>
        </w:rPr>
      </w:pPr>
      <w:r>
        <w:rPr>
          <w:color w:val="000000"/>
          <w:sz w:val="22"/>
        </w:rPr>
        <w:t>Управление наймом и привлечением персонала в Банке базируется на следующих основных принципах:</w:t>
      </w:r>
    </w:p>
    <w:p w:rsidR="00773E2C" w:rsidRDefault="00805665">
      <w:pPr>
        <w:numPr>
          <w:ilvl w:val="0"/>
          <w:numId w:val="38"/>
        </w:numPr>
        <w:tabs>
          <w:tab w:val="left" w:pos="851"/>
        </w:tabs>
        <w:autoSpaceDE w:val="0"/>
        <w:autoSpaceDN w:val="0"/>
        <w:adjustRightInd w:val="0"/>
        <w:ind w:left="851" w:hanging="284"/>
        <w:jc w:val="both"/>
        <w:rPr>
          <w:rFonts w:eastAsia="Times New Roman"/>
          <w:color w:val="000000"/>
          <w:sz w:val="22"/>
          <w:szCs w:val="22"/>
        </w:rPr>
      </w:pPr>
      <w:r>
        <w:rPr>
          <w:rFonts w:eastAsia="Times New Roman"/>
          <w:b/>
          <w:color w:val="000000"/>
          <w:sz w:val="22"/>
          <w:szCs w:val="22"/>
        </w:rPr>
        <w:t>Принцип соответствия.</w:t>
      </w:r>
      <w:r>
        <w:rPr>
          <w:rFonts w:eastAsia="Times New Roman"/>
          <w:color w:val="000000"/>
          <w:sz w:val="22"/>
          <w:szCs w:val="22"/>
        </w:rPr>
        <w:t xml:space="preserve"> Все кандидаты на открытые вакансии Банка проходят обязательные этапы собеседований, в рамках которых оценивается соответствие их нравственных и деловых качеств требованиям занимаемых должностей.</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b/>
          <w:color w:val="000000"/>
          <w:sz w:val="22"/>
          <w:szCs w:val="22"/>
        </w:rPr>
        <w:t>Принцип плановости.</w:t>
      </w:r>
      <w:r>
        <w:rPr>
          <w:b/>
          <w:color w:val="000000"/>
          <w:sz w:val="22"/>
        </w:rPr>
        <w:t xml:space="preserve"> </w:t>
      </w:r>
      <w:r>
        <w:rPr>
          <w:color w:val="000000"/>
          <w:sz w:val="22"/>
          <w:szCs w:val="22"/>
        </w:rPr>
        <w:t>В Банке проводится планомерное совершенствование кадрового состава с учетом плановой потребности в персонале и перспектив развития бизнес-направлений Банка.</w:t>
      </w:r>
    </w:p>
    <w:p w:rsidR="00773E2C" w:rsidRDefault="00805665">
      <w:pPr>
        <w:ind w:firstLine="567"/>
        <w:jc w:val="both"/>
        <w:rPr>
          <w:color w:val="000000"/>
          <w:sz w:val="22"/>
          <w:szCs w:val="22"/>
        </w:rPr>
      </w:pPr>
      <w:r>
        <w:rPr>
          <w:color w:val="000000"/>
          <w:sz w:val="22"/>
          <w:szCs w:val="22"/>
        </w:rPr>
        <w:t xml:space="preserve">Для достижения стратегической цели по найму и, учитывая динамические изменения на рынке труда, Банк внедряет инновации в области найма: </w:t>
      </w:r>
    </w:p>
    <w:p w:rsidR="00773E2C" w:rsidRDefault="00805665">
      <w:pPr>
        <w:numPr>
          <w:ilvl w:val="0"/>
          <w:numId w:val="22"/>
        </w:numPr>
        <w:tabs>
          <w:tab w:val="left" w:pos="851"/>
        </w:tabs>
        <w:autoSpaceDE w:val="0"/>
        <w:autoSpaceDN w:val="0"/>
        <w:adjustRightInd w:val="0"/>
        <w:ind w:left="851" w:hanging="284"/>
        <w:jc w:val="both"/>
        <w:rPr>
          <w:sz w:val="22"/>
        </w:rPr>
      </w:pPr>
      <w:r>
        <w:rPr>
          <w:sz w:val="22"/>
        </w:rPr>
        <w:t>использует технологии искусственного интеллекта для улучшения процесса поиска кандидатов;</w:t>
      </w:r>
    </w:p>
    <w:p w:rsidR="00773E2C" w:rsidRDefault="00805665">
      <w:pPr>
        <w:numPr>
          <w:ilvl w:val="0"/>
          <w:numId w:val="22"/>
        </w:numPr>
        <w:tabs>
          <w:tab w:val="left" w:pos="851"/>
        </w:tabs>
        <w:autoSpaceDE w:val="0"/>
        <w:autoSpaceDN w:val="0"/>
        <w:adjustRightInd w:val="0"/>
        <w:ind w:left="851" w:hanging="284"/>
        <w:jc w:val="both"/>
        <w:rPr>
          <w:sz w:val="22"/>
        </w:rPr>
      </w:pPr>
      <w:r>
        <w:rPr>
          <w:sz w:val="22"/>
        </w:rPr>
        <w:t>работает с разными сегментами и социальными группами (например, женщины, находящиеся в декрете; молодежь и иные категории).</w:t>
      </w:r>
    </w:p>
    <w:p w:rsidR="00773E2C" w:rsidRDefault="00805665">
      <w:pPr>
        <w:ind w:firstLine="567"/>
        <w:jc w:val="both"/>
        <w:rPr>
          <w:color w:val="000000"/>
          <w:sz w:val="22"/>
          <w:szCs w:val="22"/>
        </w:rPr>
      </w:pPr>
      <w:r>
        <w:rPr>
          <w:color w:val="000000"/>
          <w:sz w:val="22"/>
          <w:szCs w:val="22"/>
        </w:rPr>
        <w:t>Банк уделяет особое внимание адаптации новых сотрудников. Для этого в 2025 году обновлена программа адаптации новых сотрудников и доработан специальный раздел на Внутреннем портале Банка для того, чтобы они обладали всей необходимой и полезной информацией и максимально быстро интегрировались в рабочий процесс и культуру Банка.</w:t>
      </w:r>
    </w:p>
    <w:p w:rsidR="00773E2C" w:rsidRDefault="00805665">
      <w:pPr>
        <w:ind w:firstLine="567"/>
        <w:jc w:val="both"/>
        <w:rPr>
          <w:color w:val="000000"/>
          <w:sz w:val="22"/>
        </w:rPr>
      </w:pPr>
      <w:r>
        <w:rPr>
          <w:color w:val="000000"/>
          <w:sz w:val="22"/>
        </w:rPr>
        <w:t>Значимая роль в системе развития персонала Банка отведена процессу непрерывного совершенствования знаний и формированию у работников навыков, соответствующих стратегическим целям Банка и бизнес-задачам его подразделений. В течение 2025 года сотрудники Банка проходили следующие обучения:</w:t>
      </w:r>
    </w:p>
    <w:p w:rsidR="00773E2C" w:rsidRDefault="00805665">
      <w:pPr>
        <w:numPr>
          <w:ilvl w:val="0"/>
          <w:numId w:val="22"/>
        </w:numPr>
        <w:tabs>
          <w:tab w:val="left" w:pos="851"/>
        </w:tabs>
        <w:autoSpaceDE w:val="0"/>
        <w:autoSpaceDN w:val="0"/>
        <w:adjustRightInd w:val="0"/>
        <w:ind w:left="851" w:hanging="284"/>
        <w:jc w:val="both"/>
        <w:rPr>
          <w:color w:val="000000" w:themeColor="text1"/>
          <w:sz w:val="22"/>
          <w:szCs w:val="22"/>
        </w:rPr>
      </w:pPr>
      <w:r>
        <w:rPr>
          <w:color w:val="000000" w:themeColor="text1"/>
          <w:sz w:val="22"/>
          <w:szCs w:val="22"/>
        </w:rPr>
        <w:t>профессиональное обучение, направленное на изучение продуктов, услуг, внутренних процессов, методов работы;</w:t>
      </w:r>
    </w:p>
    <w:p w:rsidR="00773E2C" w:rsidRDefault="00805665">
      <w:pPr>
        <w:numPr>
          <w:ilvl w:val="0"/>
          <w:numId w:val="22"/>
        </w:numPr>
        <w:tabs>
          <w:tab w:val="left" w:pos="851"/>
        </w:tabs>
        <w:autoSpaceDE w:val="0"/>
        <w:autoSpaceDN w:val="0"/>
        <w:adjustRightInd w:val="0"/>
        <w:ind w:left="851" w:hanging="284"/>
        <w:jc w:val="both"/>
        <w:rPr>
          <w:color w:val="000000" w:themeColor="text1"/>
          <w:sz w:val="22"/>
          <w:szCs w:val="22"/>
        </w:rPr>
      </w:pPr>
      <w:r>
        <w:rPr>
          <w:color w:val="000000" w:themeColor="text1"/>
          <w:sz w:val="22"/>
          <w:szCs w:val="22"/>
        </w:rPr>
        <w:t>профессиональное обучение, регламентированное законодательством Российской Федерации;</w:t>
      </w:r>
    </w:p>
    <w:p w:rsidR="00773E2C" w:rsidRDefault="00805665">
      <w:pPr>
        <w:numPr>
          <w:ilvl w:val="0"/>
          <w:numId w:val="22"/>
        </w:numPr>
        <w:tabs>
          <w:tab w:val="left" w:pos="851"/>
        </w:tabs>
        <w:autoSpaceDE w:val="0"/>
        <w:autoSpaceDN w:val="0"/>
        <w:adjustRightInd w:val="0"/>
        <w:ind w:left="851" w:hanging="284"/>
        <w:jc w:val="both"/>
        <w:rPr>
          <w:color w:val="000000" w:themeColor="text1"/>
          <w:sz w:val="22"/>
          <w:szCs w:val="22"/>
        </w:rPr>
      </w:pPr>
      <w:r>
        <w:rPr>
          <w:color w:val="000000" w:themeColor="text1"/>
          <w:sz w:val="22"/>
          <w:szCs w:val="22"/>
        </w:rPr>
        <w:t>обучение, направленное на развитие управленческой компетентности, коммуникативных и бизнес – навыков.</w:t>
      </w:r>
    </w:p>
    <w:p w:rsidR="00773E2C" w:rsidRDefault="00805665">
      <w:pPr>
        <w:ind w:firstLine="567"/>
        <w:jc w:val="both"/>
        <w:rPr>
          <w:color w:val="000000"/>
          <w:sz w:val="22"/>
        </w:rPr>
      </w:pPr>
      <w:r>
        <w:rPr>
          <w:color w:val="000000"/>
          <w:sz w:val="22"/>
        </w:rPr>
        <w:t xml:space="preserve">В 2025 году за счет внутренних и внешних обучающих ресурсов был организован процесс непрерывного обучения работников. Обучение включало в себя основные аспекты деятельности работников и проводилось как в очном формате – тренинги, продуктовые семинары, деловые игры, так и в дистанционном формате – дистанционные курсы, обучающие видео, </w:t>
      </w:r>
      <w:proofErr w:type="spellStart"/>
      <w:r>
        <w:rPr>
          <w:color w:val="000000"/>
          <w:sz w:val="22"/>
        </w:rPr>
        <w:t>вебинары</w:t>
      </w:r>
      <w:proofErr w:type="spellEnd"/>
      <w:r>
        <w:rPr>
          <w:color w:val="000000"/>
          <w:sz w:val="22"/>
        </w:rPr>
        <w:t>, онлайн-тренинги, онлайн-библиотека.</w:t>
      </w:r>
    </w:p>
    <w:p w:rsidR="00773E2C" w:rsidRDefault="00805665">
      <w:pPr>
        <w:ind w:firstLine="567"/>
        <w:jc w:val="both"/>
        <w:rPr>
          <w:color w:val="000000"/>
          <w:sz w:val="22"/>
        </w:rPr>
      </w:pPr>
      <w:r>
        <w:rPr>
          <w:color w:val="000000"/>
          <w:sz w:val="22"/>
        </w:rPr>
        <w:t>В 2025 году было проведено:</w:t>
      </w:r>
    </w:p>
    <w:p w:rsidR="00773E2C" w:rsidRDefault="00805665">
      <w:pPr>
        <w:numPr>
          <w:ilvl w:val="0"/>
          <w:numId w:val="22"/>
        </w:numPr>
        <w:tabs>
          <w:tab w:val="left" w:pos="851"/>
        </w:tabs>
        <w:autoSpaceDE w:val="0"/>
        <w:autoSpaceDN w:val="0"/>
        <w:adjustRightInd w:val="0"/>
        <w:ind w:left="851" w:hanging="284"/>
        <w:jc w:val="both"/>
        <w:rPr>
          <w:color w:val="000000" w:themeColor="text1"/>
          <w:sz w:val="22"/>
          <w:szCs w:val="22"/>
        </w:rPr>
      </w:pPr>
      <w:r>
        <w:rPr>
          <w:color w:val="000000" w:themeColor="text1"/>
          <w:sz w:val="22"/>
          <w:szCs w:val="22"/>
        </w:rPr>
        <w:t>продуктовое обучение по всем видам бизнес-подразделений – 295 мероприятий;</w:t>
      </w:r>
    </w:p>
    <w:p w:rsidR="00773E2C" w:rsidRDefault="00805665">
      <w:pPr>
        <w:numPr>
          <w:ilvl w:val="0"/>
          <w:numId w:val="22"/>
        </w:numPr>
        <w:tabs>
          <w:tab w:val="left" w:pos="851"/>
        </w:tabs>
        <w:autoSpaceDE w:val="0"/>
        <w:autoSpaceDN w:val="0"/>
        <w:adjustRightInd w:val="0"/>
        <w:ind w:left="851" w:hanging="284"/>
        <w:jc w:val="both"/>
        <w:rPr>
          <w:color w:val="000000" w:themeColor="text1"/>
          <w:sz w:val="22"/>
          <w:szCs w:val="22"/>
        </w:rPr>
      </w:pPr>
      <w:proofErr w:type="spellStart"/>
      <w:r>
        <w:rPr>
          <w:color w:val="000000" w:themeColor="text1"/>
          <w:sz w:val="22"/>
          <w:szCs w:val="22"/>
        </w:rPr>
        <w:t>навыковое</w:t>
      </w:r>
      <w:proofErr w:type="spellEnd"/>
      <w:r>
        <w:rPr>
          <w:color w:val="000000" w:themeColor="text1"/>
          <w:sz w:val="22"/>
          <w:szCs w:val="22"/>
        </w:rPr>
        <w:t xml:space="preserve"> обучение по всем видам бизнес-подразделений и поддерживающих подразделений – 171 мероприятие;</w:t>
      </w:r>
    </w:p>
    <w:p w:rsidR="00773E2C" w:rsidRDefault="00805665">
      <w:pPr>
        <w:numPr>
          <w:ilvl w:val="0"/>
          <w:numId w:val="22"/>
        </w:numPr>
        <w:tabs>
          <w:tab w:val="left" w:pos="851"/>
        </w:tabs>
        <w:autoSpaceDE w:val="0"/>
        <w:autoSpaceDN w:val="0"/>
        <w:adjustRightInd w:val="0"/>
        <w:ind w:left="851" w:hanging="284"/>
        <w:jc w:val="both"/>
        <w:rPr>
          <w:color w:val="000000" w:themeColor="text1"/>
          <w:sz w:val="22"/>
          <w:szCs w:val="22"/>
        </w:rPr>
      </w:pPr>
      <w:r>
        <w:rPr>
          <w:color w:val="000000" w:themeColor="text1"/>
          <w:sz w:val="22"/>
          <w:szCs w:val="22"/>
        </w:rPr>
        <w:t xml:space="preserve">обучение, направленное на развитие управленческой компетентности, коммуникативных и бизнес-навыков, – 238 мероприятий; </w:t>
      </w:r>
    </w:p>
    <w:p w:rsidR="00773E2C" w:rsidRDefault="00805665">
      <w:pPr>
        <w:numPr>
          <w:ilvl w:val="0"/>
          <w:numId w:val="22"/>
        </w:numPr>
        <w:tabs>
          <w:tab w:val="left" w:pos="851"/>
        </w:tabs>
        <w:autoSpaceDE w:val="0"/>
        <w:autoSpaceDN w:val="0"/>
        <w:adjustRightInd w:val="0"/>
        <w:ind w:left="851" w:hanging="284"/>
        <w:jc w:val="both"/>
        <w:rPr>
          <w:color w:val="000000" w:themeColor="text1"/>
          <w:sz w:val="22"/>
          <w:szCs w:val="22"/>
        </w:rPr>
      </w:pPr>
      <w:r>
        <w:rPr>
          <w:color w:val="000000" w:themeColor="text1"/>
          <w:sz w:val="22"/>
          <w:szCs w:val="22"/>
        </w:rPr>
        <w:t>обучение в формате деловой игры – 95 мероприятий;</w:t>
      </w:r>
    </w:p>
    <w:p w:rsidR="00773E2C" w:rsidRDefault="00805665">
      <w:pPr>
        <w:numPr>
          <w:ilvl w:val="0"/>
          <w:numId w:val="22"/>
        </w:numPr>
        <w:tabs>
          <w:tab w:val="left" w:pos="851"/>
        </w:tabs>
        <w:autoSpaceDE w:val="0"/>
        <w:autoSpaceDN w:val="0"/>
        <w:adjustRightInd w:val="0"/>
        <w:ind w:left="851" w:hanging="284"/>
        <w:jc w:val="both"/>
        <w:rPr>
          <w:color w:val="000000" w:themeColor="text1"/>
          <w:sz w:val="22"/>
          <w:szCs w:val="22"/>
        </w:rPr>
      </w:pPr>
      <w:r>
        <w:rPr>
          <w:color w:val="000000" w:themeColor="text1"/>
          <w:sz w:val="22"/>
          <w:szCs w:val="22"/>
        </w:rPr>
        <w:t>дистанционное обучение – произведено 178 097 назначений.</w:t>
      </w:r>
    </w:p>
    <w:p w:rsidR="00773E2C" w:rsidRDefault="00805665">
      <w:pPr>
        <w:ind w:firstLine="567"/>
        <w:jc w:val="both"/>
        <w:rPr>
          <w:color w:val="000000"/>
          <w:sz w:val="22"/>
        </w:rPr>
      </w:pPr>
      <w:r>
        <w:rPr>
          <w:color w:val="000000"/>
          <w:sz w:val="22"/>
        </w:rPr>
        <w:t>Сотрудники высоко оценили качество внутреннего обучения. В 2025 году уровень удовлетворенности внутренним обучением составил 4,8 балла из 5.</w:t>
      </w:r>
    </w:p>
    <w:p w:rsidR="00773E2C" w:rsidRDefault="00805665">
      <w:pPr>
        <w:ind w:firstLine="567"/>
        <w:jc w:val="both"/>
        <w:rPr>
          <w:color w:val="000000"/>
          <w:sz w:val="22"/>
        </w:rPr>
      </w:pPr>
      <w:r>
        <w:rPr>
          <w:color w:val="000000"/>
          <w:sz w:val="22"/>
        </w:rPr>
        <w:t>Статистика использования сотрудниками электронной библиотеки в 2025 году такова:</w:t>
      </w:r>
    </w:p>
    <w:p w:rsidR="00773E2C" w:rsidRDefault="00805665">
      <w:pPr>
        <w:numPr>
          <w:ilvl w:val="0"/>
          <w:numId w:val="22"/>
        </w:numPr>
        <w:tabs>
          <w:tab w:val="left" w:pos="851"/>
        </w:tabs>
        <w:autoSpaceDE w:val="0"/>
        <w:autoSpaceDN w:val="0"/>
        <w:adjustRightInd w:val="0"/>
        <w:ind w:left="851" w:hanging="284"/>
        <w:jc w:val="both"/>
        <w:rPr>
          <w:color w:val="000000" w:themeColor="text1"/>
          <w:sz w:val="22"/>
          <w:szCs w:val="22"/>
        </w:rPr>
      </w:pPr>
      <w:r>
        <w:rPr>
          <w:color w:val="000000" w:themeColor="text1"/>
          <w:sz w:val="22"/>
          <w:szCs w:val="22"/>
        </w:rPr>
        <w:t>прочитано 1594 книг;</w:t>
      </w:r>
    </w:p>
    <w:p w:rsidR="00773E2C" w:rsidRDefault="00805665">
      <w:pPr>
        <w:numPr>
          <w:ilvl w:val="0"/>
          <w:numId w:val="22"/>
        </w:numPr>
        <w:tabs>
          <w:tab w:val="left" w:pos="851"/>
        </w:tabs>
        <w:autoSpaceDE w:val="0"/>
        <w:autoSpaceDN w:val="0"/>
        <w:adjustRightInd w:val="0"/>
        <w:ind w:left="851" w:hanging="284"/>
        <w:jc w:val="both"/>
        <w:rPr>
          <w:color w:val="000000" w:themeColor="text1"/>
          <w:sz w:val="22"/>
          <w:szCs w:val="22"/>
        </w:rPr>
      </w:pPr>
      <w:r>
        <w:rPr>
          <w:color w:val="000000" w:themeColor="text1"/>
          <w:sz w:val="22"/>
          <w:szCs w:val="22"/>
        </w:rPr>
        <w:t>прослушано 372 аудиокниги;</w:t>
      </w:r>
    </w:p>
    <w:p w:rsidR="00773E2C" w:rsidRDefault="00805665">
      <w:pPr>
        <w:numPr>
          <w:ilvl w:val="0"/>
          <w:numId w:val="22"/>
        </w:numPr>
        <w:tabs>
          <w:tab w:val="left" w:pos="851"/>
        </w:tabs>
        <w:autoSpaceDE w:val="0"/>
        <w:autoSpaceDN w:val="0"/>
        <w:adjustRightInd w:val="0"/>
        <w:ind w:left="851" w:hanging="284"/>
        <w:jc w:val="both"/>
        <w:rPr>
          <w:color w:val="000000" w:themeColor="text1"/>
          <w:sz w:val="22"/>
          <w:szCs w:val="22"/>
        </w:rPr>
      </w:pPr>
      <w:r>
        <w:rPr>
          <w:color w:val="000000" w:themeColor="text1"/>
          <w:sz w:val="22"/>
          <w:szCs w:val="22"/>
        </w:rPr>
        <w:t>скачано 11 151 документ и книга.</w:t>
      </w:r>
    </w:p>
    <w:p w:rsidR="00773E2C" w:rsidRDefault="00805665">
      <w:pPr>
        <w:ind w:firstLine="567"/>
        <w:jc w:val="both"/>
        <w:rPr>
          <w:color w:val="000000"/>
          <w:sz w:val="22"/>
          <w:szCs w:val="22"/>
        </w:rPr>
      </w:pPr>
      <w:r>
        <w:rPr>
          <w:color w:val="000000"/>
          <w:sz w:val="22"/>
        </w:rPr>
        <w:t>Приведенная статистика использования электронной библиотеки служит еще одним индикатором вовлеченности и лояльности персонала.</w:t>
      </w:r>
    </w:p>
    <w:p w:rsidR="00773E2C" w:rsidRDefault="00805665">
      <w:pPr>
        <w:ind w:firstLine="567"/>
        <w:jc w:val="both"/>
        <w:rPr>
          <w:color w:val="000000"/>
          <w:sz w:val="22"/>
        </w:rPr>
      </w:pPr>
      <w:r>
        <w:rPr>
          <w:color w:val="000000"/>
          <w:sz w:val="22"/>
        </w:rPr>
        <w:t xml:space="preserve">В 2025 году продолжалось активное проведение мероприятий, связанных с повышением квалификации персонала, продуктовые аттестации и </w:t>
      </w:r>
      <w:proofErr w:type="spellStart"/>
      <w:r>
        <w:rPr>
          <w:color w:val="000000"/>
          <w:sz w:val="22"/>
        </w:rPr>
        <w:t>посттренинговое</w:t>
      </w:r>
      <w:proofErr w:type="spellEnd"/>
      <w:r>
        <w:rPr>
          <w:color w:val="000000"/>
          <w:sz w:val="22"/>
        </w:rPr>
        <w:t xml:space="preserve"> сопровождение.  В отчетном году было проведено:</w:t>
      </w:r>
    </w:p>
    <w:p w:rsidR="00773E2C" w:rsidRDefault="00805665">
      <w:pPr>
        <w:numPr>
          <w:ilvl w:val="0"/>
          <w:numId w:val="22"/>
        </w:numPr>
        <w:tabs>
          <w:tab w:val="left" w:pos="851"/>
        </w:tabs>
        <w:autoSpaceDE w:val="0"/>
        <w:autoSpaceDN w:val="0"/>
        <w:adjustRightInd w:val="0"/>
        <w:ind w:left="851" w:hanging="284"/>
        <w:jc w:val="both"/>
        <w:rPr>
          <w:color w:val="000000" w:themeColor="text1"/>
          <w:sz w:val="22"/>
        </w:rPr>
      </w:pPr>
      <w:r>
        <w:rPr>
          <w:color w:val="000000" w:themeColor="text1"/>
          <w:sz w:val="22"/>
        </w:rPr>
        <w:lastRenderedPageBreak/>
        <w:t>973 продуктовые аттестации по всем видам бизнес-подразделений;</w:t>
      </w:r>
    </w:p>
    <w:p w:rsidR="00773E2C" w:rsidRDefault="00805665">
      <w:pPr>
        <w:numPr>
          <w:ilvl w:val="0"/>
          <w:numId w:val="22"/>
        </w:numPr>
        <w:tabs>
          <w:tab w:val="left" w:pos="851"/>
        </w:tabs>
        <w:autoSpaceDE w:val="0"/>
        <w:autoSpaceDN w:val="0"/>
        <w:adjustRightInd w:val="0"/>
        <w:ind w:left="851" w:hanging="284"/>
        <w:jc w:val="both"/>
        <w:rPr>
          <w:color w:val="000000" w:themeColor="text1"/>
          <w:sz w:val="22"/>
        </w:rPr>
      </w:pPr>
      <w:r>
        <w:rPr>
          <w:color w:val="000000" w:themeColor="text1"/>
          <w:sz w:val="22"/>
        </w:rPr>
        <w:t xml:space="preserve">702 </w:t>
      </w:r>
      <w:proofErr w:type="spellStart"/>
      <w:r>
        <w:rPr>
          <w:color w:val="000000" w:themeColor="text1"/>
          <w:sz w:val="22"/>
        </w:rPr>
        <w:t>посттренинговых</w:t>
      </w:r>
      <w:proofErr w:type="spellEnd"/>
      <w:r>
        <w:rPr>
          <w:color w:val="000000" w:themeColor="text1"/>
          <w:sz w:val="22"/>
        </w:rPr>
        <w:t xml:space="preserve"> сопровождений сотрудников.</w:t>
      </w:r>
    </w:p>
    <w:p w:rsidR="00773E2C" w:rsidRDefault="00805665">
      <w:pPr>
        <w:ind w:firstLine="567"/>
        <w:jc w:val="both"/>
        <w:rPr>
          <w:color w:val="000000"/>
          <w:sz w:val="22"/>
          <w:szCs w:val="22"/>
        </w:rPr>
      </w:pPr>
      <w:r>
        <w:rPr>
          <w:color w:val="000000"/>
          <w:sz w:val="22"/>
        </w:rPr>
        <w:t>Выстроенная система обучения в Банке дает возможность сотрудникам на постоянной основе повышать свой профессиональный уровень, а Банку достигать стратегических целей. В 2025 году в сторонних обучающих организациях повысили свою квалификацию 788 сотрудников Банка по 265 программам. Из них 245 сотрудников проходили обязательное обучение, а 543 сотрудника – повышение квалификации.</w:t>
      </w:r>
    </w:p>
    <w:p w:rsidR="00773E2C" w:rsidRDefault="00805665">
      <w:pPr>
        <w:ind w:firstLine="567"/>
        <w:jc w:val="both"/>
        <w:rPr>
          <w:color w:val="000000"/>
          <w:sz w:val="22"/>
        </w:rPr>
      </w:pPr>
      <w:r>
        <w:rPr>
          <w:color w:val="000000"/>
          <w:sz w:val="22"/>
        </w:rPr>
        <w:t>В 2025 году в Банке продолжено применение различных инструментов диагностики для оценки компетенций сотрудников и внешних кандидатов. Результаты оценки, получаемые на основе диагностики, доводятся до сотрудников Банка и используются для определения зон их персонального роста, планирования и проведения обучения, принятия управленческих решений, а также при подборе кадров.</w:t>
      </w:r>
    </w:p>
    <w:p w:rsidR="00773E2C" w:rsidRDefault="00805665">
      <w:pPr>
        <w:ind w:firstLine="567"/>
        <w:jc w:val="both"/>
        <w:rPr>
          <w:color w:val="000000"/>
          <w:sz w:val="22"/>
        </w:rPr>
      </w:pPr>
      <w:r>
        <w:rPr>
          <w:color w:val="000000"/>
          <w:sz w:val="22"/>
        </w:rPr>
        <w:t>Внутреннюю оценку по обновленному перечню компетенций и новой методологии в 2025 году прошел 201 сотрудник.</w:t>
      </w:r>
    </w:p>
    <w:p w:rsidR="00773E2C" w:rsidRDefault="00805665">
      <w:pPr>
        <w:ind w:firstLine="567"/>
        <w:jc w:val="both"/>
        <w:rPr>
          <w:color w:val="000000"/>
          <w:sz w:val="22"/>
          <w:szCs w:val="22"/>
        </w:rPr>
      </w:pPr>
      <w:r>
        <w:rPr>
          <w:color w:val="000000"/>
          <w:sz w:val="22"/>
          <w:szCs w:val="22"/>
        </w:rPr>
        <w:t xml:space="preserve">Банк уделяет особое внимание формированию персонала, для чего привлекает к работе стажеров и практикантов из учебных заведений, в том числе высших. В 2025 году в Банке было организовано прохождение очной практики для 569 человек из 32 городов России. Шестидесяти студентам выпускных курсов средних и высших учебных заведений Банк предоставил возможность для прохождения стажировки. По итогам 2025 года Банк занял второе место в престижном Всероссийском конкурсе </w:t>
      </w:r>
      <w:proofErr w:type="spellStart"/>
      <w:r>
        <w:rPr>
          <w:color w:val="000000"/>
          <w:sz w:val="22"/>
        </w:rPr>
        <w:t>Graduate</w:t>
      </w:r>
      <w:proofErr w:type="spellEnd"/>
      <w:r>
        <w:rPr>
          <w:color w:val="000000"/>
          <w:sz w:val="22"/>
          <w:szCs w:val="22"/>
        </w:rPr>
        <w:t xml:space="preserve"> </w:t>
      </w:r>
      <w:proofErr w:type="spellStart"/>
      <w:r>
        <w:rPr>
          <w:color w:val="000000"/>
          <w:sz w:val="22"/>
        </w:rPr>
        <w:t>Awards</w:t>
      </w:r>
      <w:proofErr w:type="spellEnd"/>
      <w:r>
        <w:rPr>
          <w:color w:val="000000"/>
          <w:sz w:val="22"/>
          <w:szCs w:val="22"/>
        </w:rPr>
        <w:t xml:space="preserve"> в области работы со школьниками, студентами и молодыми специалистами.</w:t>
      </w:r>
    </w:p>
    <w:p w:rsidR="00773E2C" w:rsidRDefault="00805665">
      <w:pPr>
        <w:ind w:firstLine="567"/>
        <w:jc w:val="both"/>
        <w:rPr>
          <w:color w:val="000000"/>
          <w:sz w:val="22"/>
        </w:rPr>
      </w:pPr>
      <w:r>
        <w:rPr>
          <w:color w:val="000000"/>
          <w:sz w:val="22"/>
        </w:rPr>
        <w:t xml:space="preserve">В Банке, в процессе трудовых отношений с работниками, учитываются показатели вовлеченности, удовлетворенности, лояльности, а также обратная связь, получаемая от работников. Идентификация актуального уровня указанных показателей, основанная на опросе сотрудников, проводится в Банке на регулярной основе. До 2024 года опрос сотрудников Банка проводился один раз в 2 года, в настоящее время в связи с высокой динамикой изменений внешних и внутренних факторов, принято решение о его ежегодном проведении. С целью получения максимально объективных результатов для проведения опроса привлекается внешний подрядчик. Такой подход позволяет учитывать не только внутренние показатели, но и </w:t>
      </w:r>
      <w:proofErr w:type="spellStart"/>
      <w:r>
        <w:rPr>
          <w:color w:val="000000"/>
          <w:sz w:val="22"/>
        </w:rPr>
        <w:t>бенчмарки</w:t>
      </w:r>
      <w:proofErr w:type="spellEnd"/>
      <w:r>
        <w:rPr>
          <w:color w:val="000000"/>
          <w:sz w:val="22"/>
        </w:rPr>
        <w:t xml:space="preserve"> по банковской сфере: около 30 банков и финансовых организаций, а также показатели по более чем 700 предприятиям и организациям России. По результатам опроса рассчитываются уровни вовлеченности, удовлетворенности и лояльности работников. В 2025 году в опросе приняли участие 82,3% сотрудников (6120 человек).</w:t>
      </w:r>
    </w:p>
    <w:p w:rsidR="00D46CFD" w:rsidRDefault="00D46CFD">
      <w:pPr>
        <w:ind w:firstLine="567"/>
        <w:jc w:val="both"/>
        <w:rPr>
          <w:color w:val="000000"/>
          <w:sz w:val="22"/>
        </w:rPr>
      </w:pPr>
    </w:p>
    <w:p w:rsidR="00773E2C" w:rsidRDefault="00805665">
      <w:pPr>
        <w:ind w:firstLine="567"/>
        <w:jc w:val="both"/>
        <w:rPr>
          <w:color w:val="000000"/>
          <w:sz w:val="22"/>
        </w:rPr>
      </w:pPr>
      <w:r>
        <w:rPr>
          <w:color w:val="000000"/>
          <w:sz w:val="22"/>
        </w:rPr>
        <w:t>Результаты проведенного в 2025 опроса таковы:</w:t>
      </w:r>
    </w:p>
    <w:p w:rsidR="00773E2C" w:rsidRDefault="00805665">
      <w:pPr>
        <w:numPr>
          <w:ilvl w:val="0"/>
          <w:numId w:val="22"/>
        </w:numPr>
        <w:tabs>
          <w:tab w:val="left" w:pos="851"/>
        </w:tabs>
        <w:autoSpaceDE w:val="0"/>
        <w:autoSpaceDN w:val="0"/>
        <w:adjustRightInd w:val="0"/>
        <w:ind w:left="851" w:hanging="284"/>
        <w:jc w:val="both"/>
        <w:rPr>
          <w:color w:val="000000" w:themeColor="text1"/>
          <w:sz w:val="22"/>
        </w:rPr>
      </w:pPr>
      <w:r>
        <w:rPr>
          <w:color w:val="000000" w:themeColor="text1"/>
          <w:sz w:val="22"/>
        </w:rPr>
        <w:t>уровень вовлеченности составил 88,5%;</w:t>
      </w:r>
    </w:p>
    <w:p w:rsidR="00773E2C" w:rsidRDefault="00805665">
      <w:pPr>
        <w:numPr>
          <w:ilvl w:val="0"/>
          <w:numId w:val="22"/>
        </w:numPr>
        <w:tabs>
          <w:tab w:val="left" w:pos="851"/>
        </w:tabs>
        <w:autoSpaceDE w:val="0"/>
        <w:autoSpaceDN w:val="0"/>
        <w:adjustRightInd w:val="0"/>
        <w:ind w:left="851" w:hanging="284"/>
        <w:jc w:val="both"/>
        <w:rPr>
          <w:color w:val="000000" w:themeColor="text1"/>
          <w:sz w:val="22"/>
        </w:rPr>
      </w:pPr>
      <w:r>
        <w:rPr>
          <w:color w:val="000000" w:themeColor="text1"/>
          <w:sz w:val="22"/>
        </w:rPr>
        <w:t>уровень удовлетворенности – 84,4%;</w:t>
      </w:r>
    </w:p>
    <w:p w:rsidR="00773E2C" w:rsidRDefault="00805665">
      <w:pPr>
        <w:numPr>
          <w:ilvl w:val="0"/>
          <w:numId w:val="22"/>
        </w:numPr>
        <w:tabs>
          <w:tab w:val="left" w:pos="851"/>
        </w:tabs>
        <w:autoSpaceDE w:val="0"/>
        <w:autoSpaceDN w:val="0"/>
        <w:adjustRightInd w:val="0"/>
        <w:ind w:left="851" w:hanging="284"/>
        <w:jc w:val="both"/>
        <w:rPr>
          <w:color w:val="000000" w:themeColor="text1"/>
          <w:sz w:val="22"/>
        </w:rPr>
      </w:pPr>
      <w:r>
        <w:rPr>
          <w:color w:val="000000" w:themeColor="text1"/>
          <w:sz w:val="22"/>
        </w:rPr>
        <w:t>уровень лояльности – 77,6%.</w:t>
      </w:r>
    </w:p>
    <w:p w:rsidR="00773E2C" w:rsidRDefault="00805665">
      <w:pPr>
        <w:ind w:firstLine="567"/>
        <w:jc w:val="both"/>
        <w:rPr>
          <w:color w:val="000000"/>
          <w:sz w:val="22"/>
        </w:rPr>
      </w:pPr>
      <w:r>
        <w:rPr>
          <w:color w:val="000000"/>
          <w:sz w:val="22"/>
        </w:rPr>
        <w:t>Анализ вовлеченности, удовлетворенности и лояльности сотрудников Банка является важным инструментом HR-аналитики, направленным на диагностику эмоционального состояния сотрудников, измерения уровня их лояльности и мотивации. На основании полученной после его проведения обратной связи в Банке формируется и реализуется план по внедрению изменений, направленных на улучшение производительности, оптимизации рабочих процессов и удовлетворением потребностей сотрудников.</w:t>
      </w:r>
    </w:p>
    <w:p w:rsidR="00773E2C" w:rsidRDefault="00805665">
      <w:pPr>
        <w:ind w:firstLine="567"/>
        <w:jc w:val="both"/>
        <w:rPr>
          <w:color w:val="000000"/>
          <w:sz w:val="22"/>
        </w:rPr>
      </w:pPr>
      <w:r>
        <w:rPr>
          <w:color w:val="000000"/>
          <w:sz w:val="22"/>
        </w:rPr>
        <w:t>Для того, чтобы обеспечить справедливую оплату труда и оставаться конкурентоспособным работодателем, Банк внедрил прозрачную систему должностных разрядов (</w:t>
      </w:r>
      <w:proofErr w:type="spellStart"/>
      <w:r>
        <w:rPr>
          <w:color w:val="000000"/>
          <w:sz w:val="22"/>
        </w:rPr>
        <w:t>грейдов</w:t>
      </w:r>
      <w:proofErr w:type="spellEnd"/>
      <w:r>
        <w:rPr>
          <w:color w:val="000000"/>
          <w:sz w:val="22"/>
        </w:rPr>
        <w:t>), которая объединяет все должности Банка в группы по результатам их сопоставления по единому набору критериев с присвоением таким группам должностей соответствующих должностных разрядов (</w:t>
      </w:r>
      <w:proofErr w:type="spellStart"/>
      <w:r>
        <w:rPr>
          <w:color w:val="000000"/>
          <w:sz w:val="22"/>
        </w:rPr>
        <w:t>грейдов</w:t>
      </w:r>
      <w:proofErr w:type="spellEnd"/>
      <w:r>
        <w:rPr>
          <w:color w:val="000000"/>
          <w:sz w:val="22"/>
        </w:rPr>
        <w:t>). В рамках данной системы действует соответствующая компенсационная модель, предусматривающая установление определенного уровня вознаграждения для определенного должностного разряда (</w:t>
      </w:r>
      <w:proofErr w:type="spellStart"/>
      <w:r>
        <w:rPr>
          <w:color w:val="000000"/>
          <w:sz w:val="22"/>
        </w:rPr>
        <w:t>грейда</w:t>
      </w:r>
      <w:proofErr w:type="spellEnd"/>
      <w:r>
        <w:rPr>
          <w:color w:val="000000"/>
          <w:sz w:val="22"/>
        </w:rPr>
        <w:t>). Уровень вознаграждения для каждого должностного разряда (</w:t>
      </w:r>
      <w:proofErr w:type="spellStart"/>
      <w:r>
        <w:rPr>
          <w:color w:val="000000"/>
          <w:sz w:val="22"/>
        </w:rPr>
        <w:t>грейда</w:t>
      </w:r>
      <w:proofErr w:type="spellEnd"/>
      <w:r>
        <w:rPr>
          <w:color w:val="000000"/>
          <w:sz w:val="22"/>
        </w:rPr>
        <w:t>) определяется по утвержденным принципам, которые не предполагают большого разрыва между должностными разрядами (</w:t>
      </w:r>
      <w:proofErr w:type="spellStart"/>
      <w:r>
        <w:rPr>
          <w:color w:val="000000"/>
          <w:sz w:val="22"/>
        </w:rPr>
        <w:t>грейдами</w:t>
      </w:r>
      <w:proofErr w:type="spellEnd"/>
      <w:r>
        <w:rPr>
          <w:color w:val="000000"/>
          <w:sz w:val="22"/>
        </w:rPr>
        <w:t>).</w:t>
      </w:r>
    </w:p>
    <w:p w:rsidR="00773E2C" w:rsidRDefault="00805665">
      <w:pPr>
        <w:ind w:firstLine="567"/>
        <w:jc w:val="both"/>
        <w:rPr>
          <w:color w:val="000000"/>
          <w:sz w:val="22"/>
          <w:szCs w:val="22"/>
        </w:rPr>
      </w:pPr>
      <w:r>
        <w:rPr>
          <w:color w:val="000000"/>
          <w:sz w:val="22"/>
        </w:rPr>
        <w:t>Основные правила и принципы установления должностных окладов, а также полномочия по принятию решений об установлении и изменении заработных плат работникам Банка закреплены во внутренних нормативных документах Банка. Решения по установлению должностных разрядов на основании проведенной объективной оценки должностей принимает действующий в Банке внутренний коллегиальный орган – Оценочный комитет.</w:t>
      </w:r>
    </w:p>
    <w:p w:rsidR="00773E2C" w:rsidRDefault="00805665">
      <w:pPr>
        <w:ind w:firstLine="567"/>
        <w:jc w:val="both"/>
        <w:rPr>
          <w:color w:val="000000"/>
          <w:sz w:val="22"/>
          <w:szCs w:val="22"/>
        </w:rPr>
      </w:pPr>
      <w:r>
        <w:rPr>
          <w:color w:val="000000"/>
          <w:sz w:val="22"/>
          <w:szCs w:val="22"/>
        </w:rPr>
        <w:t>Банк уделяет особое внимание качеству электронных сервисов для своих работников, в связи с чем в Банке реализованы проекты:</w:t>
      </w:r>
    </w:p>
    <w:p w:rsidR="00773E2C" w:rsidRDefault="00805665">
      <w:pPr>
        <w:numPr>
          <w:ilvl w:val="0"/>
          <w:numId w:val="22"/>
        </w:numPr>
        <w:tabs>
          <w:tab w:val="left" w:pos="851"/>
        </w:tabs>
        <w:autoSpaceDE w:val="0"/>
        <w:autoSpaceDN w:val="0"/>
        <w:adjustRightInd w:val="0"/>
        <w:ind w:left="851" w:hanging="284"/>
        <w:jc w:val="both"/>
        <w:rPr>
          <w:color w:val="000000" w:themeColor="text1"/>
          <w:sz w:val="22"/>
        </w:rPr>
      </w:pPr>
      <w:r>
        <w:rPr>
          <w:color w:val="000000" w:themeColor="text1"/>
          <w:sz w:val="22"/>
        </w:rPr>
        <w:lastRenderedPageBreak/>
        <w:t>объединены несколько рабочих порталов в единый интерфейс;</w:t>
      </w:r>
    </w:p>
    <w:p w:rsidR="00773E2C" w:rsidRDefault="00805665">
      <w:pPr>
        <w:numPr>
          <w:ilvl w:val="0"/>
          <w:numId w:val="22"/>
        </w:numPr>
        <w:tabs>
          <w:tab w:val="left" w:pos="851"/>
        </w:tabs>
        <w:autoSpaceDE w:val="0"/>
        <w:autoSpaceDN w:val="0"/>
        <w:adjustRightInd w:val="0"/>
        <w:ind w:left="851" w:hanging="284"/>
        <w:jc w:val="both"/>
        <w:rPr>
          <w:color w:val="000000" w:themeColor="text1"/>
          <w:sz w:val="22"/>
        </w:rPr>
      </w:pPr>
      <w:r>
        <w:rPr>
          <w:color w:val="000000" w:themeColor="text1"/>
          <w:sz w:val="22"/>
        </w:rPr>
        <w:t>внедрен полностью удаленный процесс оформления на работу в Банк;</w:t>
      </w:r>
    </w:p>
    <w:p w:rsidR="00773E2C" w:rsidRDefault="00805665">
      <w:pPr>
        <w:numPr>
          <w:ilvl w:val="0"/>
          <w:numId w:val="22"/>
        </w:numPr>
        <w:tabs>
          <w:tab w:val="left" w:pos="851"/>
        </w:tabs>
        <w:autoSpaceDE w:val="0"/>
        <w:autoSpaceDN w:val="0"/>
        <w:adjustRightInd w:val="0"/>
        <w:ind w:left="851" w:hanging="284"/>
        <w:jc w:val="both"/>
        <w:rPr>
          <w:color w:val="000000" w:themeColor="text1"/>
          <w:sz w:val="22"/>
        </w:rPr>
      </w:pPr>
      <w:r>
        <w:rPr>
          <w:color w:val="000000" w:themeColor="text1"/>
          <w:sz w:val="22"/>
        </w:rPr>
        <w:t>осуществлено цифровое подписание всех документов по кадровому обеспечению.</w:t>
      </w:r>
    </w:p>
    <w:p w:rsidR="00773E2C" w:rsidRDefault="00805665">
      <w:pPr>
        <w:ind w:firstLine="567"/>
        <w:jc w:val="both"/>
        <w:rPr>
          <w:color w:val="000000" w:themeColor="text1"/>
          <w:sz w:val="22"/>
        </w:rPr>
      </w:pPr>
      <w:r>
        <w:rPr>
          <w:color w:val="000000" w:themeColor="text1"/>
          <w:sz w:val="22"/>
        </w:rPr>
        <w:t>Таким образом, Банк предлагает своим сотрудникам возможности для профессионального развития и роста, создает комфортные условия труда. В 2025 году аналитический центр «</w:t>
      </w:r>
      <w:proofErr w:type="spellStart"/>
      <w:r>
        <w:rPr>
          <w:color w:val="000000" w:themeColor="text1"/>
          <w:sz w:val="22"/>
        </w:rPr>
        <w:t>БизнесДром</w:t>
      </w:r>
      <w:proofErr w:type="spellEnd"/>
      <w:r>
        <w:rPr>
          <w:color w:val="000000" w:themeColor="text1"/>
          <w:sz w:val="22"/>
        </w:rPr>
        <w:t>» подтвердил рейтинг привлекательности работодателя ПАО «БАНК УРАЛСИБ» на наивысшем уровне А.hr. В качестве факторов, повлиявших на высокую оценку, эксперты отметили эффективность программ адаптации, обучения, развития и карьерного роста, систему материальной мотивации и корпоративный социальный пакет.</w:t>
      </w:r>
    </w:p>
    <w:p w:rsidR="00773E2C" w:rsidRDefault="00773E2C">
      <w:pPr>
        <w:ind w:firstLine="567"/>
        <w:jc w:val="both"/>
        <w:rPr>
          <w:color w:val="000000" w:themeColor="text1"/>
          <w:sz w:val="22"/>
        </w:rPr>
      </w:pPr>
    </w:p>
    <w:p w:rsidR="00773E2C" w:rsidRDefault="00805665">
      <w:pPr>
        <w:ind w:firstLine="567"/>
        <w:jc w:val="both"/>
        <w:rPr>
          <w:b/>
          <w:iCs/>
          <w:color w:val="000000"/>
          <w:sz w:val="22"/>
        </w:rPr>
      </w:pPr>
      <w:bookmarkStart w:id="38" w:name="_Hlk227145539"/>
      <w:r>
        <w:rPr>
          <w:b/>
          <w:iCs/>
          <w:color w:val="000000"/>
          <w:sz w:val="22"/>
        </w:rPr>
        <w:t>ЦУР 1 «Ликвидация нищеты» и ЦУР 10 «Уменьшение неравенства»</w:t>
      </w:r>
    </w:p>
    <w:p w:rsidR="00773E2C" w:rsidRDefault="00773E2C">
      <w:pPr>
        <w:ind w:firstLine="567"/>
        <w:jc w:val="both"/>
        <w:rPr>
          <w:color w:val="000000" w:themeColor="text1"/>
          <w:sz w:val="22"/>
        </w:rPr>
      </w:pPr>
    </w:p>
    <w:p w:rsidR="00773E2C" w:rsidRDefault="00805665">
      <w:pPr>
        <w:ind w:firstLine="567"/>
        <w:jc w:val="both"/>
        <w:rPr>
          <w:color w:val="000000" w:themeColor="text1"/>
          <w:sz w:val="22"/>
        </w:rPr>
      </w:pPr>
      <w:r>
        <w:rPr>
          <w:color w:val="000000" w:themeColor="text1"/>
          <w:sz w:val="22"/>
        </w:rPr>
        <w:t>Обширная сеть отделений и развитие удаленных каналов банковского обслуживания делает финансовые услуги Банка доступными широким слоям населения. Банк развивает продукты и услуги, способствующие решению социальных задач, включая развитие жилищного кредитования, специальные предложения для пенсионеров, обеспечение проведения государственных социальных трансфертов и налоговых платежей. Для заемщиков, у которых возникли трудности с погашением кредитов, в Банке в настоящее время действует 15 вариантов реструктуризации кредитной задолженности физических лиц, включая предоставление кредитных каникул согласно федеральным законам Российской Федерации. Заявление на реструктуризацию принимаются как в офисе Банка, так и в электронной форме, для консультации по вопросам реструктуризации выделен специальный единый федеральный номер.</w:t>
      </w:r>
    </w:p>
    <w:p w:rsidR="00773E2C" w:rsidRDefault="00805665">
      <w:pPr>
        <w:ind w:firstLine="567"/>
        <w:jc w:val="both"/>
        <w:rPr>
          <w:color w:val="000000" w:themeColor="text1"/>
          <w:sz w:val="22"/>
        </w:rPr>
      </w:pPr>
      <w:r>
        <w:rPr>
          <w:color w:val="000000" w:themeColor="text1"/>
          <w:sz w:val="22"/>
        </w:rPr>
        <w:t>Банк на системной основе проводит уроки финансовой грамотности в вузах, школах и даже детских садах. Главная их цель — научить детей, подростков и молодежь правильно ориентироваться в финансовом мире, безопасно пользоваться банковскими продуктами и сервисами, планировать свой бюджет. Для школьников и студентов проводятся дни открытых дверей, деловые игры. Участники этих мероприятий, проходящих в Новосибирске, Уфе, Краснодаре и других городах присутствия Банка, получают начальные финансовые знания, у них формируется представление о работе современного банка, ключевых финансовых продуктах и функционировании финансовой системы. Для детей дошкольного возраста сотрудники Банка разработали специальную программу, которая прививает им навыки вдумчивого обращения с финансами с самого раннего возраста. В Янауле Банк принял участие во II Всероссийском семейном фестивале сбережений и инвестиций, приуроченном ко Дню России, в Златоусте поддержал детский чемпионат «Умения юных».</w:t>
      </w:r>
    </w:p>
    <w:p w:rsidR="00773E2C" w:rsidRDefault="00805665">
      <w:pPr>
        <w:ind w:firstLine="567"/>
        <w:jc w:val="both"/>
        <w:rPr>
          <w:color w:val="000000" w:themeColor="text1"/>
          <w:sz w:val="22"/>
        </w:rPr>
      </w:pPr>
      <w:r>
        <w:rPr>
          <w:color w:val="000000" w:themeColor="text1"/>
          <w:sz w:val="22"/>
        </w:rPr>
        <w:t>На помощь самым уязвимым слоям обращены благотворительные инициативы Банка, включающие участие волонтеров из числа сотрудников Банка. Банк является партнером благотворительных фондов «Помощь» и «Синяя птица». В Златоусте Банк поддержал благотворительный концерт «Звезда Уральской земли», в Тюмени – благотворительный проект «</w:t>
      </w:r>
      <w:proofErr w:type="spellStart"/>
      <w:r>
        <w:rPr>
          <w:color w:val="000000" w:themeColor="text1"/>
          <w:sz w:val="22"/>
        </w:rPr>
        <w:t>КиноПодвиг</w:t>
      </w:r>
      <w:proofErr w:type="spellEnd"/>
      <w:r>
        <w:rPr>
          <w:color w:val="000000" w:themeColor="text1"/>
          <w:sz w:val="22"/>
        </w:rPr>
        <w:t>». В декабре 2025 года сотрудники Банка приняли участие в традиционной новогодней акции «Праздник каждому ребенку», организованной благотворительным фондом «</w:t>
      </w:r>
      <w:proofErr w:type="spellStart"/>
      <w:r>
        <w:rPr>
          <w:color w:val="000000" w:themeColor="text1"/>
          <w:sz w:val="22"/>
        </w:rPr>
        <w:t>Дикони</w:t>
      </w:r>
      <w:proofErr w:type="spellEnd"/>
      <w:r>
        <w:rPr>
          <w:color w:val="000000" w:themeColor="text1"/>
          <w:sz w:val="22"/>
        </w:rPr>
        <w:t>», в рамках которой каждый ребенок получил новогодний подарок. Фонд «</w:t>
      </w:r>
      <w:proofErr w:type="spellStart"/>
      <w:r>
        <w:rPr>
          <w:color w:val="000000" w:themeColor="text1"/>
          <w:sz w:val="22"/>
        </w:rPr>
        <w:t>Дикони</w:t>
      </w:r>
      <w:proofErr w:type="spellEnd"/>
      <w:r>
        <w:rPr>
          <w:color w:val="000000" w:themeColor="text1"/>
          <w:sz w:val="22"/>
        </w:rPr>
        <w:t>» выразил письменную благодарность сотрудникам Банка.</w:t>
      </w:r>
    </w:p>
    <w:p w:rsidR="00773E2C" w:rsidRDefault="00773E2C">
      <w:pPr>
        <w:ind w:firstLine="567"/>
        <w:jc w:val="both"/>
        <w:rPr>
          <w:color w:val="000000" w:themeColor="text1"/>
          <w:sz w:val="22"/>
          <w:szCs w:val="22"/>
        </w:rPr>
      </w:pPr>
    </w:p>
    <w:p w:rsidR="00773E2C" w:rsidRDefault="00805665">
      <w:pPr>
        <w:ind w:firstLine="567"/>
        <w:jc w:val="both"/>
        <w:rPr>
          <w:b/>
          <w:iCs/>
          <w:color w:val="000000"/>
          <w:sz w:val="22"/>
        </w:rPr>
      </w:pPr>
      <w:r>
        <w:rPr>
          <w:b/>
          <w:iCs/>
          <w:color w:val="000000"/>
          <w:sz w:val="22"/>
        </w:rPr>
        <w:t>ЦУР 3 «Хорошее здоровье и благополучие»</w:t>
      </w:r>
    </w:p>
    <w:p w:rsidR="00773E2C" w:rsidRDefault="00773E2C">
      <w:pPr>
        <w:ind w:firstLine="567"/>
        <w:jc w:val="both"/>
        <w:rPr>
          <w:iCs/>
          <w:color w:val="000000" w:themeColor="text1"/>
          <w:sz w:val="22"/>
        </w:rPr>
      </w:pPr>
    </w:p>
    <w:p w:rsidR="00773E2C" w:rsidRDefault="00805665">
      <w:pPr>
        <w:ind w:firstLine="567"/>
        <w:jc w:val="both"/>
        <w:rPr>
          <w:color w:val="000000" w:themeColor="text1"/>
          <w:sz w:val="22"/>
        </w:rPr>
      </w:pPr>
      <w:r>
        <w:rPr>
          <w:color w:val="000000" w:themeColor="text1"/>
          <w:sz w:val="22"/>
        </w:rPr>
        <w:t>Банк широко поддерживает начинания, связанные с популяризацией здорового образа жизни, а также спортивные коллективы – от любительских до профессиональных.</w:t>
      </w:r>
    </w:p>
    <w:p w:rsidR="00773E2C" w:rsidRDefault="00805665">
      <w:pPr>
        <w:ind w:firstLine="567"/>
        <w:jc w:val="both"/>
        <w:rPr>
          <w:color w:val="000000" w:themeColor="text1"/>
          <w:sz w:val="22"/>
        </w:rPr>
      </w:pPr>
      <w:r>
        <w:rPr>
          <w:color w:val="000000" w:themeColor="text1"/>
          <w:sz w:val="22"/>
        </w:rPr>
        <w:t xml:space="preserve">В спортивном сезоне 2025-2026 года Банк стал финансовым партнером футбольного клуба «Челябинск», выступил спонсором Международных соревнований по спортивной борьбе, проходивших в Красноярске, партнером IV этапа конного турнира «Большой Сибирский круг» в Новосибирске. В конце 2025 года Банк и международное спортивное агентство </w:t>
      </w:r>
      <w:proofErr w:type="spellStart"/>
      <w:r>
        <w:rPr>
          <w:color w:val="000000" w:themeColor="text1"/>
          <w:sz w:val="22"/>
        </w:rPr>
        <w:t>Elevate</w:t>
      </w:r>
      <w:proofErr w:type="spellEnd"/>
      <w:r>
        <w:rPr>
          <w:color w:val="000000" w:themeColor="text1"/>
          <w:sz w:val="22"/>
        </w:rPr>
        <w:t xml:space="preserve"> </w:t>
      </w:r>
      <w:proofErr w:type="spellStart"/>
      <w:r>
        <w:rPr>
          <w:color w:val="000000" w:themeColor="text1"/>
          <w:sz w:val="22"/>
        </w:rPr>
        <w:t>Pro</w:t>
      </w:r>
      <w:proofErr w:type="spellEnd"/>
      <w:r>
        <w:rPr>
          <w:color w:val="000000" w:themeColor="text1"/>
          <w:sz w:val="22"/>
        </w:rPr>
        <w:t xml:space="preserve"> </w:t>
      </w:r>
      <w:proofErr w:type="spellStart"/>
      <w:r>
        <w:rPr>
          <w:color w:val="000000" w:themeColor="text1"/>
          <w:sz w:val="22"/>
        </w:rPr>
        <w:t>Group</w:t>
      </w:r>
      <w:proofErr w:type="spellEnd"/>
      <w:r>
        <w:rPr>
          <w:color w:val="000000" w:themeColor="text1"/>
          <w:sz w:val="22"/>
        </w:rPr>
        <w:t xml:space="preserve"> объявили о начале долгосрочного стратегического партнерства. В рамках этого сотрудничества запланированы персональное финансовое консультирование профессиональных спортсменов, совместные мероприятия с академией хоккейного клуба «Трактор» и разработка специальных программ для воспитанников академии, помощь в профориентации и адаптации завершающих карьеру игроков.</w:t>
      </w:r>
    </w:p>
    <w:p w:rsidR="00773E2C" w:rsidRDefault="00805665">
      <w:pPr>
        <w:ind w:firstLine="567"/>
        <w:jc w:val="both"/>
        <w:rPr>
          <w:color w:val="000000" w:themeColor="text1"/>
          <w:sz w:val="22"/>
        </w:rPr>
      </w:pPr>
      <w:r>
        <w:rPr>
          <w:color w:val="000000" w:themeColor="text1"/>
          <w:sz w:val="22"/>
        </w:rPr>
        <w:t xml:space="preserve">При поддержке Банка в 2025 году были проведены следующие спортивно-общественные мероприятия: фестиваль «Нефтекамск качает», туристический слет педагогов Златоуста и Миасса, эстафета «Весна победы в Челябинске», детские соревнования по лыжным гонкам в Междуреченске и </w:t>
      </w:r>
      <w:r>
        <w:rPr>
          <w:color w:val="000000" w:themeColor="text1"/>
          <w:sz w:val="22"/>
        </w:rPr>
        <w:lastRenderedPageBreak/>
        <w:t>региональные детско-юношеские соревнования по конному спорту, проводимые в Алтайском крае в честь 80-летия Победы в Великой Отечественной войне, международный легкоатлетический забег «Борись и побеждай» в рамках спортивной программы Восточного экономического форума, игра «Зарница 2.0» в Новосибирске. Сотрудники филиала Банка в Екатеринбурге, участвовавшие в социально-спортивном проекте «</w:t>
      </w:r>
      <w:proofErr w:type="spellStart"/>
      <w:r>
        <w:rPr>
          <w:color w:val="000000" w:themeColor="text1"/>
          <w:sz w:val="22"/>
        </w:rPr>
        <w:t>ГТОвместе</w:t>
      </w:r>
      <w:proofErr w:type="spellEnd"/>
      <w:r>
        <w:rPr>
          <w:color w:val="000000" w:themeColor="text1"/>
          <w:sz w:val="22"/>
        </w:rPr>
        <w:t>», вышли на старт вместе с детьми из детских домов. В честь старта нового сезона Континентальной хоккейной лиги Банк организовал традиционную встречу клиентов и сотрудников с игроками Хоккейного клуба «Трактор». Алтайская федерация волейбола вынесла Банку благодарность за поддержку спортивных инициатив и вклад в развитие активного образа жизни в регионе.</w:t>
      </w:r>
    </w:p>
    <w:p w:rsidR="00773E2C" w:rsidRDefault="00805665">
      <w:pPr>
        <w:ind w:firstLine="567"/>
        <w:jc w:val="both"/>
        <w:rPr>
          <w:color w:val="000000" w:themeColor="text1"/>
          <w:sz w:val="22"/>
        </w:rPr>
      </w:pPr>
      <w:r>
        <w:rPr>
          <w:color w:val="000000" w:themeColor="text1"/>
          <w:sz w:val="22"/>
        </w:rPr>
        <w:t xml:space="preserve">Спортивные инициативы Банка способствуют развитию городов его присутствия и сплочению местных сообществ. На маршрутах «Уфимского ожерелья» Банк запустил пункты проката спортивного инвентаря, предоставив жителям и гостям города доступ к оборудованию для активного отдыха. В Ростовской области </w:t>
      </w:r>
      <w:r>
        <w:rPr>
          <w:color w:val="000000" w:themeColor="text1"/>
          <w:sz w:val="22"/>
          <w:szCs w:val="22"/>
        </w:rPr>
        <w:t>Банк</w:t>
      </w:r>
      <w:r>
        <w:rPr>
          <w:color w:val="000000" w:themeColor="text1"/>
          <w:sz w:val="22"/>
        </w:rPr>
        <w:t xml:space="preserve"> совместно с телеканалом СТС построили многофункциональную спортивную площадку, подходящую для развития силы, ловкости и выносливости как новичков, так и опытных спортсменов. В селе Верхнеяркеево Банк оказал финансовую поддержку лыжным соревнованиям, которые были учреждены по инициативе управляющего местным офисом Банка Д.Р. </w:t>
      </w:r>
      <w:proofErr w:type="spellStart"/>
      <w:r>
        <w:rPr>
          <w:color w:val="000000" w:themeColor="text1"/>
          <w:sz w:val="22"/>
        </w:rPr>
        <w:t>Ракипова</w:t>
      </w:r>
      <w:proofErr w:type="spellEnd"/>
      <w:r>
        <w:rPr>
          <w:color w:val="000000" w:themeColor="text1"/>
          <w:sz w:val="22"/>
        </w:rPr>
        <w:t>.</w:t>
      </w:r>
    </w:p>
    <w:p w:rsidR="00514051" w:rsidRDefault="00514051">
      <w:pPr>
        <w:jc w:val="both"/>
        <w:rPr>
          <w:b/>
          <w:i/>
        </w:rPr>
      </w:pPr>
    </w:p>
    <w:p w:rsidR="00773E2C" w:rsidRDefault="00805665">
      <w:pPr>
        <w:ind w:firstLine="567"/>
        <w:jc w:val="both"/>
        <w:rPr>
          <w:b/>
          <w:iCs/>
          <w:color w:val="000000"/>
          <w:sz w:val="22"/>
        </w:rPr>
      </w:pPr>
      <w:r>
        <w:rPr>
          <w:b/>
          <w:iCs/>
          <w:color w:val="000000"/>
          <w:sz w:val="22"/>
        </w:rPr>
        <w:t>ЦУР 4 «Качественное образование»</w:t>
      </w:r>
    </w:p>
    <w:p w:rsidR="00773E2C" w:rsidRDefault="00773E2C">
      <w:pPr>
        <w:ind w:firstLine="567"/>
        <w:jc w:val="both"/>
        <w:rPr>
          <w:color w:val="000000" w:themeColor="text1"/>
          <w:sz w:val="22"/>
        </w:rPr>
      </w:pPr>
    </w:p>
    <w:p w:rsidR="00773E2C" w:rsidRDefault="00805665">
      <w:pPr>
        <w:ind w:firstLine="567"/>
        <w:jc w:val="both"/>
        <w:rPr>
          <w:color w:val="000000" w:themeColor="text1"/>
          <w:sz w:val="22"/>
        </w:rPr>
      </w:pPr>
      <w:r>
        <w:rPr>
          <w:color w:val="000000" w:themeColor="text1"/>
          <w:sz w:val="22"/>
        </w:rPr>
        <w:t>C 2022 года Банк развивает онлайн-платформу «</w:t>
      </w:r>
      <w:proofErr w:type="spellStart"/>
      <w:r>
        <w:rPr>
          <w:color w:val="000000" w:themeColor="text1"/>
          <w:sz w:val="22"/>
        </w:rPr>
        <w:t>Уралсиб.Ускорение</w:t>
      </w:r>
      <w:proofErr w:type="spellEnd"/>
      <w:r>
        <w:rPr>
          <w:color w:val="000000" w:themeColor="text1"/>
          <w:sz w:val="22"/>
        </w:rPr>
        <w:t>», с которой взаимодействуют уже более 160 образовательных организаций, включая как региональные, так и лучшие федеральные вузы, такие как Российский экономический университет им. Г.В. Плеханова, Финансовый университет при Правительстве Российской Федерации, Национальный исследовательский университет «Высшая школа экономики», Российская академия народного хозяйства и государственной службы и другие. Эта платформа насчитывает уже свыше 7,5 тысяч пользователей и позволяет студентам бесплатно получить новые знания и пройти профессиональную ориентацию в финансовой сфере.</w:t>
      </w:r>
    </w:p>
    <w:p w:rsidR="00773E2C" w:rsidRDefault="00805665">
      <w:pPr>
        <w:ind w:firstLine="567"/>
        <w:jc w:val="both"/>
        <w:rPr>
          <w:color w:val="000000" w:themeColor="text1"/>
          <w:sz w:val="22"/>
        </w:rPr>
      </w:pPr>
      <w:r>
        <w:rPr>
          <w:color w:val="000000" w:themeColor="text1"/>
          <w:sz w:val="22"/>
        </w:rPr>
        <w:t xml:space="preserve">В 2025 году Банк провел 18 мероприятий в разных городах страны для студентов вузов, участниками которых стали более 5700 студентов. Еще один проект Банка по поддержке учащейся молодежи – программа USB.HUB, направленная на развитие практических навыков в сфере IT и аналитики у талантливых студентов, вовлечение их в решение актуальных отраслевых задач, профессиональное наставничество и формирование устойчивого сообщества молодых специалистов. При поддержке Банка прошли: вторая школа-конференция молодых ученых «Современные вызовы молекулярной биологии», организованная Институтом химической биологии и фундаментальной медицины СО РАН, и конкурс «Золотой фонд НГУЭУ». Представители Банка приняли участие в «Днях карьеры НГУ» и карьерном мероприятии </w:t>
      </w:r>
      <w:proofErr w:type="spellStart"/>
      <w:r>
        <w:rPr>
          <w:color w:val="000000" w:themeColor="text1"/>
          <w:sz w:val="22"/>
        </w:rPr>
        <w:t>ProFinance</w:t>
      </w:r>
      <w:proofErr w:type="spellEnd"/>
      <w:r>
        <w:rPr>
          <w:color w:val="000000" w:themeColor="text1"/>
          <w:sz w:val="22"/>
        </w:rPr>
        <w:t xml:space="preserve">, организованном для студентов и молодых специалистов платформой </w:t>
      </w:r>
      <w:proofErr w:type="spellStart"/>
      <w:r>
        <w:rPr>
          <w:color w:val="000000" w:themeColor="text1"/>
          <w:sz w:val="22"/>
        </w:rPr>
        <w:t>FutureToday</w:t>
      </w:r>
      <w:proofErr w:type="spellEnd"/>
      <w:r>
        <w:rPr>
          <w:color w:val="000000" w:themeColor="text1"/>
          <w:sz w:val="22"/>
        </w:rPr>
        <w:t>.</w:t>
      </w:r>
    </w:p>
    <w:p w:rsidR="00773E2C" w:rsidRDefault="00805665">
      <w:pPr>
        <w:ind w:firstLine="567"/>
        <w:jc w:val="both"/>
        <w:rPr>
          <w:color w:val="000000" w:themeColor="text1"/>
          <w:sz w:val="22"/>
        </w:rPr>
      </w:pPr>
      <w:r>
        <w:rPr>
          <w:color w:val="000000" w:themeColor="text1"/>
          <w:sz w:val="22"/>
        </w:rPr>
        <w:t>За вклад в развитие образования в городе исполнительный директор макрорегиона Урало-Сибирский Н.С. Голубева получила от начальника Департамента образования мэрии Новосибирска благодарность.</w:t>
      </w:r>
    </w:p>
    <w:p w:rsidR="00773E2C" w:rsidRDefault="00773E2C">
      <w:pPr>
        <w:ind w:firstLine="567"/>
        <w:jc w:val="both"/>
        <w:rPr>
          <w:b/>
          <w:i/>
        </w:rPr>
      </w:pPr>
    </w:p>
    <w:p w:rsidR="00773E2C" w:rsidRDefault="00805665">
      <w:pPr>
        <w:ind w:firstLine="567"/>
        <w:jc w:val="both"/>
        <w:rPr>
          <w:b/>
          <w:iCs/>
          <w:color w:val="000000"/>
          <w:sz w:val="22"/>
        </w:rPr>
      </w:pPr>
      <w:r>
        <w:rPr>
          <w:b/>
          <w:iCs/>
          <w:color w:val="000000"/>
          <w:sz w:val="22"/>
        </w:rPr>
        <w:t>ЦУР 9 «Индустриализация, инновация и инфраструктура»</w:t>
      </w:r>
    </w:p>
    <w:p w:rsidR="00773E2C" w:rsidRDefault="00773E2C">
      <w:pPr>
        <w:ind w:firstLine="567"/>
        <w:jc w:val="both"/>
        <w:rPr>
          <w:color w:val="000000" w:themeColor="text1"/>
          <w:sz w:val="22"/>
        </w:rPr>
      </w:pPr>
    </w:p>
    <w:p w:rsidR="00773E2C" w:rsidRDefault="00805665">
      <w:pPr>
        <w:ind w:firstLine="567"/>
        <w:jc w:val="both"/>
        <w:rPr>
          <w:color w:val="000000" w:themeColor="text1"/>
          <w:sz w:val="22"/>
        </w:rPr>
      </w:pPr>
      <w:r>
        <w:rPr>
          <w:color w:val="000000" w:themeColor="text1"/>
          <w:sz w:val="22"/>
        </w:rPr>
        <w:t xml:space="preserve">В 2025 году Банк занял высокие позиции в </w:t>
      </w:r>
      <w:proofErr w:type="spellStart"/>
      <w:r>
        <w:rPr>
          <w:color w:val="000000" w:themeColor="text1"/>
          <w:sz w:val="22"/>
        </w:rPr>
        <w:t>рэнкингах</w:t>
      </w:r>
      <w:proofErr w:type="spellEnd"/>
      <w:r>
        <w:rPr>
          <w:color w:val="000000" w:themeColor="text1"/>
          <w:sz w:val="22"/>
        </w:rPr>
        <w:t>, подтверждающих инновационный подход и использование высокотехнологичной инфраструктуры: вошел в топ-10 самых инновационных банков России по версии Фонда «</w:t>
      </w:r>
      <w:proofErr w:type="spellStart"/>
      <w:r>
        <w:rPr>
          <w:color w:val="000000" w:themeColor="text1"/>
          <w:sz w:val="22"/>
        </w:rPr>
        <w:t>Сколково</w:t>
      </w:r>
      <w:proofErr w:type="spellEnd"/>
      <w:r>
        <w:rPr>
          <w:color w:val="000000" w:themeColor="text1"/>
          <w:sz w:val="22"/>
        </w:rPr>
        <w:t xml:space="preserve">» и топ-15 рейтинга цифровой зрелости банков, подготовленного CX </w:t>
      </w:r>
      <w:proofErr w:type="spellStart"/>
      <w:r>
        <w:rPr>
          <w:color w:val="000000" w:themeColor="text1"/>
          <w:sz w:val="22"/>
        </w:rPr>
        <w:t>Digital</w:t>
      </w:r>
      <w:proofErr w:type="spellEnd"/>
      <w:r>
        <w:rPr>
          <w:color w:val="000000" w:themeColor="text1"/>
          <w:sz w:val="22"/>
        </w:rPr>
        <w:t xml:space="preserve"> &amp; </w:t>
      </w:r>
      <w:proofErr w:type="spellStart"/>
      <w:r>
        <w:rPr>
          <w:color w:val="000000" w:themeColor="text1"/>
          <w:sz w:val="22"/>
        </w:rPr>
        <w:t>Distant</w:t>
      </w:r>
      <w:proofErr w:type="spellEnd"/>
      <w:r>
        <w:rPr>
          <w:color w:val="000000" w:themeColor="text1"/>
          <w:sz w:val="22"/>
        </w:rPr>
        <w:t xml:space="preserve"> </w:t>
      </w:r>
      <w:proofErr w:type="spellStart"/>
      <w:r>
        <w:rPr>
          <w:color w:val="000000" w:themeColor="text1"/>
          <w:sz w:val="22"/>
        </w:rPr>
        <w:t>Index</w:t>
      </w:r>
      <w:proofErr w:type="spellEnd"/>
      <w:r>
        <w:rPr>
          <w:color w:val="000000" w:themeColor="text1"/>
          <w:sz w:val="22"/>
        </w:rPr>
        <w:t>. Кроме того, Банк стал обладателем наград «</w:t>
      </w:r>
      <w:proofErr w:type="spellStart"/>
      <w:r>
        <w:rPr>
          <w:color w:val="000000" w:themeColor="text1"/>
          <w:sz w:val="22"/>
        </w:rPr>
        <w:t>Финтех</w:t>
      </w:r>
      <w:proofErr w:type="spellEnd"/>
      <w:r>
        <w:rPr>
          <w:color w:val="000000" w:themeColor="text1"/>
          <w:sz w:val="22"/>
        </w:rPr>
        <w:t xml:space="preserve">-проект года», «Лидер инноваций на рынке драгоценных металлов», BI AWARD «За использование </w:t>
      </w:r>
      <w:proofErr w:type="spellStart"/>
      <w:r>
        <w:rPr>
          <w:color w:val="000000" w:themeColor="text1"/>
          <w:sz w:val="22"/>
        </w:rPr>
        <w:t>геймификации</w:t>
      </w:r>
      <w:proofErr w:type="spellEnd"/>
      <w:r>
        <w:rPr>
          <w:color w:val="000000" w:themeColor="text1"/>
          <w:sz w:val="22"/>
        </w:rPr>
        <w:t xml:space="preserve"> в трансформации корпоративной культуры», </w:t>
      </w:r>
      <w:proofErr w:type="spellStart"/>
      <w:r>
        <w:rPr>
          <w:color w:val="000000" w:themeColor="text1"/>
          <w:sz w:val="22"/>
        </w:rPr>
        <w:t>Russian</w:t>
      </w:r>
      <w:proofErr w:type="spellEnd"/>
      <w:r>
        <w:rPr>
          <w:color w:val="000000" w:themeColor="text1"/>
          <w:sz w:val="22"/>
        </w:rPr>
        <w:t xml:space="preserve"> </w:t>
      </w:r>
      <w:proofErr w:type="spellStart"/>
      <w:r>
        <w:rPr>
          <w:color w:val="000000" w:themeColor="text1"/>
          <w:sz w:val="22"/>
        </w:rPr>
        <w:t>Employee</w:t>
      </w:r>
      <w:proofErr w:type="spellEnd"/>
      <w:r>
        <w:rPr>
          <w:color w:val="000000" w:themeColor="text1"/>
          <w:sz w:val="22"/>
        </w:rPr>
        <w:t xml:space="preserve"> </w:t>
      </w:r>
      <w:proofErr w:type="spellStart"/>
      <w:r>
        <w:rPr>
          <w:color w:val="000000" w:themeColor="text1"/>
          <w:sz w:val="22"/>
        </w:rPr>
        <w:t>Experience</w:t>
      </w:r>
      <w:proofErr w:type="spellEnd"/>
      <w:r>
        <w:rPr>
          <w:color w:val="000000" w:themeColor="text1"/>
          <w:sz w:val="22"/>
        </w:rPr>
        <w:t xml:space="preserve"> </w:t>
      </w:r>
      <w:proofErr w:type="spellStart"/>
      <w:r>
        <w:rPr>
          <w:color w:val="000000" w:themeColor="text1"/>
          <w:sz w:val="22"/>
        </w:rPr>
        <w:t>Awards</w:t>
      </w:r>
      <w:proofErr w:type="spellEnd"/>
      <w:r>
        <w:rPr>
          <w:color w:val="000000" w:themeColor="text1"/>
          <w:sz w:val="22"/>
        </w:rPr>
        <w:t xml:space="preserve"> в номинациях «Лучшее цифровое решение по работе с идеями сотрудников» и «Лучшая команда по </w:t>
      </w:r>
      <w:proofErr w:type="spellStart"/>
      <w:r>
        <w:rPr>
          <w:color w:val="000000" w:themeColor="text1"/>
          <w:sz w:val="22"/>
        </w:rPr>
        <w:t>цифровизации</w:t>
      </w:r>
      <w:proofErr w:type="spellEnd"/>
      <w:r>
        <w:rPr>
          <w:color w:val="000000" w:themeColor="text1"/>
          <w:sz w:val="22"/>
        </w:rPr>
        <w:t xml:space="preserve"> бизнеса».</w:t>
      </w:r>
    </w:p>
    <w:p w:rsidR="00773E2C" w:rsidRDefault="00805665">
      <w:pPr>
        <w:ind w:firstLine="567"/>
        <w:jc w:val="both"/>
        <w:rPr>
          <w:color w:val="000000" w:themeColor="text1"/>
          <w:sz w:val="22"/>
        </w:rPr>
      </w:pPr>
      <w:r>
        <w:rPr>
          <w:color w:val="000000" w:themeColor="text1"/>
          <w:sz w:val="22"/>
        </w:rPr>
        <w:t>Описание практик, применяемых в Банке, включено в новый ГОСТ Р 72388-2025 «Управление идеями в организации».</w:t>
      </w:r>
    </w:p>
    <w:p w:rsidR="00773E2C" w:rsidRDefault="00805665">
      <w:pPr>
        <w:ind w:firstLine="567"/>
        <w:jc w:val="both"/>
        <w:rPr>
          <w:color w:val="000000" w:themeColor="text1"/>
          <w:sz w:val="22"/>
        </w:rPr>
      </w:pPr>
      <w:r>
        <w:rPr>
          <w:color w:val="000000" w:themeColor="text1"/>
          <w:sz w:val="22"/>
        </w:rPr>
        <w:t xml:space="preserve"> В отчетном году Банк стал партнером бизнес-конференции в Челябинске на тему IT-решений для бизнеса INTEC DAY KOSMOS и участником XII международного форума технологического развития «Технопром-2025» в Новосибирске.</w:t>
      </w:r>
    </w:p>
    <w:p w:rsidR="00773E2C" w:rsidRDefault="00773E2C">
      <w:pPr>
        <w:ind w:firstLine="567"/>
        <w:jc w:val="both"/>
        <w:rPr>
          <w:b/>
          <w:i/>
        </w:rPr>
      </w:pPr>
    </w:p>
    <w:p w:rsidR="00773E2C" w:rsidRDefault="00805665">
      <w:pPr>
        <w:ind w:firstLine="567"/>
        <w:jc w:val="both"/>
        <w:rPr>
          <w:b/>
          <w:iCs/>
          <w:color w:val="000000"/>
          <w:sz w:val="22"/>
        </w:rPr>
      </w:pPr>
      <w:r>
        <w:rPr>
          <w:b/>
          <w:iCs/>
          <w:color w:val="000000"/>
          <w:sz w:val="22"/>
        </w:rPr>
        <w:lastRenderedPageBreak/>
        <w:t>ЦУР 11 «Устойчивые города и населенные пункты»</w:t>
      </w:r>
    </w:p>
    <w:p w:rsidR="00773E2C" w:rsidRDefault="00773E2C">
      <w:pPr>
        <w:ind w:firstLine="567"/>
        <w:jc w:val="both"/>
        <w:rPr>
          <w:color w:val="000000" w:themeColor="text1"/>
          <w:sz w:val="22"/>
        </w:rPr>
      </w:pPr>
    </w:p>
    <w:p w:rsidR="00773E2C" w:rsidRDefault="00805665">
      <w:pPr>
        <w:ind w:firstLine="567"/>
        <w:jc w:val="both"/>
        <w:rPr>
          <w:color w:val="000000" w:themeColor="text1"/>
          <w:sz w:val="22"/>
        </w:rPr>
      </w:pPr>
      <w:r>
        <w:rPr>
          <w:color w:val="000000" w:themeColor="text1"/>
          <w:sz w:val="22"/>
        </w:rPr>
        <w:t>Инициативы, реализуемые Банком, приводят к улучшению культурных, социально-экономических и экологических условий в городах его присутствия.</w:t>
      </w:r>
    </w:p>
    <w:p w:rsidR="00773E2C" w:rsidRDefault="00805665">
      <w:pPr>
        <w:ind w:firstLine="567"/>
        <w:jc w:val="both"/>
        <w:rPr>
          <w:color w:val="000000" w:themeColor="text1"/>
          <w:sz w:val="22"/>
        </w:rPr>
      </w:pPr>
      <w:r>
        <w:rPr>
          <w:color w:val="000000" w:themeColor="text1"/>
          <w:sz w:val="22"/>
        </w:rPr>
        <w:t>Среди локальных культурных мероприятий, поддержанных Банком в 2025 году, можно отметить фестиваль снежных фигур и выставку «Победителям посвящается!» в Новосибирске, фестиваль детского песенного творчества «Новосибирск — поющая столица», благотворительный концерт в Златоусте и фестиваль ко дню города Воткинска. Банк выступил генеральным спонсором фильма «Туда», герои которого совершают автомобильное путешествие через всю страну, чтобы попасть в Уфу – один из главных городов, в которых Банк развивает свою деятельность. В благоустройстве Уфы Банк принял участие, запустив пункты проката спортивного инвентаря на маршруте «Уфимское ожерелье». В Москве Банк выступил генеральным партнером праздника русского балета и генеральным партнером фестиваля «Лучший друг», приуроченного к Международному дню собак. При финансовой поддержке Банка и при участии его сотрудников-волонтеров были заложены «Аллея педагогов-воспитателей» и «Аллея защитников Отечества» в городе Обь.</w:t>
      </w:r>
    </w:p>
    <w:p w:rsidR="00773E2C" w:rsidRDefault="00805665">
      <w:pPr>
        <w:ind w:firstLine="567"/>
        <w:jc w:val="both"/>
        <w:rPr>
          <w:color w:val="000000" w:themeColor="text1"/>
          <w:sz w:val="22"/>
        </w:rPr>
      </w:pPr>
      <w:r>
        <w:rPr>
          <w:color w:val="000000" w:themeColor="text1"/>
          <w:sz w:val="22"/>
        </w:rPr>
        <w:t xml:space="preserve"> В 2025 году Банк активно участвовал в мероприятиях, направленных на развитие местного предпринимательства и улучшение делового климата в регионах, среди них – конкурс «Предприниматель года» в Туле, премии «Человек года» в Новосибирске и «Клиника года» в Челябинске.</w:t>
      </w:r>
    </w:p>
    <w:p w:rsidR="00773E2C" w:rsidRDefault="00773E2C">
      <w:pPr>
        <w:ind w:firstLine="567"/>
        <w:jc w:val="both"/>
        <w:rPr>
          <w:b/>
        </w:rPr>
      </w:pPr>
    </w:p>
    <w:p w:rsidR="00773E2C" w:rsidRDefault="00805665">
      <w:pPr>
        <w:ind w:firstLine="567"/>
        <w:jc w:val="both"/>
        <w:rPr>
          <w:b/>
          <w:iCs/>
          <w:color w:val="000000"/>
          <w:sz w:val="22"/>
        </w:rPr>
      </w:pPr>
      <w:r>
        <w:rPr>
          <w:b/>
          <w:iCs/>
          <w:color w:val="000000"/>
          <w:sz w:val="22"/>
        </w:rPr>
        <w:t>ЦУР 16 «Правосудие и эффективные институты»</w:t>
      </w:r>
    </w:p>
    <w:p w:rsidR="00773E2C" w:rsidRDefault="00773E2C">
      <w:pPr>
        <w:ind w:firstLine="567"/>
        <w:jc w:val="both"/>
        <w:rPr>
          <w:color w:val="000000" w:themeColor="text1"/>
          <w:sz w:val="22"/>
        </w:rPr>
      </w:pPr>
    </w:p>
    <w:p w:rsidR="00773E2C" w:rsidRDefault="00805665">
      <w:pPr>
        <w:ind w:firstLine="567"/>
        <w:jc w:val="both"/>
        <w:rPr>
          <w:color w:val="000000" w:themeColor="text1"/>
          <w:sz w:val="22"/>
        </w:rPr>
      </w:pPr>
      <w:r>
        <w:rPr>
          <w:color w:val="000000" w:themeColor="text1"/>
          <w:sz w:val="22"/>
        </w:rPr>
        <w:t>Один из важнейших приоритетов работы Банка – защита средств клиентов и противодействие угрозам мошенничества. Благодаря бдительности и неравнодушию сотрудников, Банку не раз удалось защитить сбережения уязвимых граждан, попавших под влияние преступников. В 2025 году сотрудники дополнительного офиса «</w:t>
      </w:r>
      <w:proofErr w:type="spellStart"/>
      <w:r>
        <w:rPr>
          <w:color w:val="000000" w:themeColor="text1"/>
          <w:sz w:val="22"/>
        </w:rPr>
        <w:t>Геленджикский</w:t>
      </w:r>
      <w:proofErr w:type="spellEnd"/>
      <w:r>
        <w:rPr>
          <w:color w:val="000000" w:themeColor="text1"/>
          <w:sz w:val="22"/>
        </w:rPr>
        <w:t>» были награждены благодарственными грамотами МВД России за предотвращение мошенничества в отношении клиента Банка.</w:t>
      </w:r>
    </w:p>
    <w:p w:rsidR="00773E2C" w:rsidRDefault="00805665">
      <w:pPr>
        <w:ind w:firstLine="567"/>
        <w:jc w:val="both"/>
        <w:rPr>
          <w:color w:val="000000" w:themeColor="text1"/>
          <w:sz w:val="22"/>
        </w:rPr>
      </w:pPr>
      <w:r>
        <w:rPr>
          <w:color w:val="000000" w:themeColor="text1"/>
          <w:sz w:val="22"/>
        </w:rPr>
        <w:t xml:space="preserve">Банком непрерывно ведется работа по повышению </w:t>
      </w:r>
      <w:proofErr w:type="spellStart"/>
      <w:r>
        <w:rPr>
          <w:color w:val="000000" w:themeColor="text1"/>
          <w:sz w:val="22"/>
        </w:rPr>
        <w:t>кибербезопасности</w:t>
      </w:r>
      <w:proofErr w:type="spellEnd"/>
      <w:r>
        <w:rPr>
          <w:color w:val="000000" w:themeColor="text1"/>
          <w:sz w:val="22"/>
        </w:rPr>
        <w:t xml:space="preserve"> и дальнейшему улучшению защиты данных. В 2025 году Банк в очередной раз подтвердил соответствие требованиям Стандарта безопасности данных индустрии платежных карт (Стандарт PCI DSS версии 4.0.1.). Компанией </w:t>
      </w:r>
      <w:proofErr w:type="spellStart"/>
      <w:r>
        <w:rPr>
          <w:color w:val="000000" w:themeColor="text1"/>
          <w:sz w:val="22"/>
        </w:rPr>
        <w:t>Neoflex</w:t>
      </w:r>
      <w:proofErr w:type="spellEnd"/>
      <w:r>
        <w:rPr>
          <w:color w:val="000000" w:themeColor="text1"/>
          <w:sz w:val="22"/>
        </w:rPr>
        <w:t xml:space="preserve"> был проведен независимый аудит </w:t>
      </w:r>
      <w:proofErr w:type="spellStart"/>
      <w:r>
        <w:rPr>
          <w:color w:val="000000" w:themeColor="text1"/>
          <w:sz w:val="22"/>
        </w:rPr>
        <w:t>микросервисной</w:t>
      </w:r>
      <w:proofErr w:type="spellEnd"/>
      <w:r>
        <w:rPr>
          <w:color w:val="000000" w:themeColor="text1"/>
          <w:sz w:val="22"/>
        </w:rPr>
        <w:t xml:space="preserve"> платформы Банка, включающий анализ защиты данных клиента и соблюдения требований информационной безопасности. В результате аудита подтверждено соответствие системы лучшим отраслевым практикам и будущим потребностям бизнеса и составлена дорожная карта дальнейшего развития. Между Банком и российским оператором мобильной связи Т2 заключено соглашение о стратегическом взаимодействии с целью повышения </w:t>
      </w:r>
      <w:proofErr w:type="spellStart"/>
      <w:r>
        <w:rPr>
          <w:color w:val="000000" w:themeColor="text1"/>
          <w:sz w:val="22"/>
        </w:rPr>
        <w:t>киберустойчивости</w:t>
      </w:r>
      <w:proofErr w:type="spellEnd"/>
      <w:r>
        <w:rPr>
          <w:color w:val="000000" w:themeColor="text1"/>
          <w:sz w:val="22"/>
        </w:rPr>
        <w:t>, развития цифровых решений и обмена отраслевыми практиками в области противостояния мошенничеству.</w:t>
      </w:r>
    </w:p>
    <w:p w:rsidR="00773E2C" w:rsidRDefault="00773E2C">
      <w:pPr>
        <w:ind w:firstLine="567"/>
        <w:jc w:val="both"/>
        <w:rPr>
          <w:b/>
          <w:i/>
        </w:rPr>
      </w:pPr>
    </w:p>
    <w:p w:rsidR="00773E2C" w:rsidRDefault="00805665">
      <w:pPr>
        <w:ind w:firstLine="567"/>
        <w:jc w:val="both"/>
        <w:rPr>
          <w:b/>
          <w:iCs/>
          <w:color w:val="000000"/>
          <w:sz w:val="22"/>
        </w:rPr>
      </w:pPr>
      <w:r>
        <w:rPr>
          <w:b/>
          <w:iCs/>
          <w:color w:val="000000"/>
          <w:sz w:val="22"/>
        </w:rPr>
        <w:t>ЦУР 17 «Партнерство в интересах устойчивого развития»</w:t>
      </w:r>
    </w:p>
    <w:p w:rsidR="00773E2C" w:rsidRDefault="00773E2C">
      <w:pPr>
        <w:ind w:firstLine="567"/>
        <w:jc w:val="both"/>
        <w:rPr>
          <w:color w:val="000000" w:themeColor="text1"/>
          <w:sz w:val="22"/>
        </w:rPr>
      </w:pPr>
    </w:p>
    <w:p w:rsidR="00773E2C" w:rsidRDefault="00805665">
      <w:pPr>
        <w:ind w:firstLine="567"/>
        <w:jc w:val="both"/>
        <w:rPr>
          <w:color w:val="000000" w:themeColor="text1"/>
          <w:sz w:val="22"/>
        </w:rPr>
      </w:pPr>
      <w:r>
        <w:rPr>
          <w:color w:val="000000" w:themeColor="text1"/>
          <w:sz w:val="22"/>
        </w:rPr>
        <w:t>Для Банка важно быть социально значимым партнером в регионах, где представлены его подразделения. Поэтому Банк является организатором или активным участником целого ряда социально значимых инициатив в регионах своего присутствия по таким направлениям, как культура и спорт, поддержка социально уязвимых категорий населения, содействие развитию местных и профессиональных сообществ, повышение финансовой грамотности</w:t>
      </w:r>
    </w:p>
    <w:p w:rsidR="00773E2C" w:rsidRDefault="00805665">
      <w:pPr>
        <w:ind w:firstLine="567"/>
        <w:jc w:val="both"/>
        <w:rPr>
          <w:color w:val="000000" w:themeColor="text1"/>
          <w:sz w:val="22"/>
        </w:rPr>
      </w:pPr>
      <w:r>
        <w:rPr>
          <w:color w:val="000000" w:themeColor="text1"/>
          <w:sz w:val="22"/>
        </w:rPr>
        <w:t>Банк является участником соглашения о сотрудничестве с Правительством Республики Башкортостан, действующего с 2019 года. В 2025 году в рамках этого соглашения была подписана дорожная карта сотрудничества на трехлетний период. Особое внимание в ней уделено возможному участию Банка в крупных проектах республики, поддержке малого и среднего бизнеса, развитию банковской инфраструктуры в республике и ключевых масштабных совместных программ – таких как «</w:t>
      </w:r>
      <w:proofErr w:type="spellStart"/>
      <w:r>
        <w:rPr>
          <w:color w:val="000000" w:themeColor="text1"/>
          <w:sz w:val="22"/>
        </w:rPr>
        <w:t>Жилстройсбережения</w:t>
      </w:r>
      <w:proofErr w:type="spellEnd"/>
      <w:r>
        <w:rPr>
          <w:color w:val="000000" w:themeColor="text1"/>
          <w:sz w:val="22"/>
        </w:rPr>
        <w:t>» и карта жителя «Алга, Башкортостан». Кроме того, предусмотрены инициативы по поддержке социальных проектов и повышению финансовой грамотности населения. Всего план содержит 6 разделов и 26 мероприятий.</w:t>
      </w:r>
    </w:p>
    <w:p w:rsidR="00773E2C" w:rsidRDefault="00805665">
      <w:pPr>
        <w:ind w:firstLine="567"/>
        <w:jc w:val="both"/>
        <w:rPr>
          <w:color w:val="000000" w:themeColor="text1"/>
          <w:sz w:val="22"/>
        </w:rPr>
      </w:pPr>
      <w:r>
        <w:rPr>
          <w:color w:val="000000" w:themeColor="text1"/>
          <w:sz w:val="22"/>
        </w:rPr>
        <w:t xml:space="preserve">На ПМЭФ-2025 было заключено Соглашение о сотрудничестве между Банком и Краснодарским краем, направленное на развитие банковской инфраструктуры и технологий, повышение экономического потенциала и качества финансовых услуг для населения и бизнеса, укрепление положительного имиджа и инвестиционной привлекательности региона. Соглашение о сотрудничестве в части кредитной и гарантийной поддержки малого и среднего бизнеса подписано </w:t>
      </w:r>
      <w:r>
        <w:rPr>
          <w:color w:val="000000" w:themeColor="text1"/>
          <w:sz w:val="22"/>
        </w:rPr>
        <w:lastRenderedPageBreak/>
        <w:t>между Банком и Гарантийным фондом кредитного обеспечения Республики Мордовия. Соглашение с Липецким региональным отделением «Деловой России» предусматривает совместную работу по анализу потребностей бизнеса, разработке предложений по улучшению механизмов финансовой поддержки и развитию банковских продуктов, а также включает программы по повышению финансовой грамотности и профессиональных навыков предпринимателей.</w:t>
      </w:r>
    </w:p>
    <w:p w:rsidR="00773E2C" w:rsidRDefault="00805665">
      <w:pPr>
        <w:ind w:firstLine="567"/>
        <w:jc w:val="both"/>
        <w:rPr>
          <w:color w:val="000000" w:themeColor="text1"/>
          <w:sz w:val="22"/>
        </w:rPr>
      </w:pPr>
      <w:r>
        <w:rPr>
          <w:color w:val="000000" w:themeColor="text1"/>
          <w:sz w:val="22"/>
        </w:rPr>
        <w:t>В отчетном году представители Банка приняли участие в десятом Восточном экономическом форуме во Владивостоке, съезде лидеров «Опоры России», первой экспортной конференции и конференции международных перевозчиков в Смоленске, аграрном форуме «День Земли Сибирской», круглом столе «Новые подходы к международным расчетам и логистике» в Липецке. Банк является партнером Уральского форума арбитражных управляющих. В 2025 году было заключено соглашение о сотрудничестве с новосибирским отделением Общественной организации ветеранов войны, труда, вооруженных сил и правоохранительных органов.</w:t>
      </w:r>
    </w:p>
    <w:p w:rsidR="00773E2C" w:rsidRDefault="00805665">
      <w:pPr>
        <w:ind w:firstLine="567"/>
        <w:jc w:val="both"/>
        <w:rPr>
          <w:color w:val="000000" w:themeColor="text1"/>
          <w:sz w:val="22"/>
        </w:rPr>
      </w:pPr>
      <w:r>
        <w:rPr>
          <w:color w:val="000000" w:themeColor="text1"/>
          <w:sz w:val="22"/>
        </w:rPr>
        <w:t>За отчетный год несколько раз удостоилась признания общественно-полезная деятельность Банка в Новосибирске и Новосибирской области: Банк победил в конкурсе «Лучший бренд Новосибирской области» в номинации «Финансовая деятельность», получил благодарственное письмо за многолетнее партнерство и поддержку городских общественных и культурных проектов и благодарность местного филиала Поискового движения России за поддержку и участие в сохранении исторической памяти.</w:t>
      </w:r>
    </w:p>
    <w:p w:rsidR="00773E2C" w:rsidRDefault="00773E2C">
      <w:pPr>
        <w:ind w:firstLine="567"/>
        <w:jc w:val="both"/>
        <w:rPr>
          <w:color w:val="000000"/>
          <w:sz w:val="22"/>
          <w:szCs w:val="22"/>
        </w:rPr>
      </w:pPr>
    </w:p>
    <w:p w:rsidR="00773E2C" w:rsidRDefault="001D7E77">
      <w:pPr>
        <w:keepNext/>
        <w:ind w:firstLine="567"/>
        <w:jc w:val="both"/>
        <w:outlineLvl w:val="1"/>
        <w:rPr>
          <w:b/>
          <w:bCs/>
          <w:sz w:val="22"/>
          <w:szCs w:val="22"/>
        </w:rPr>
      </w:pPr>
      <w:bookmarkStart w:id="39" w:name="_Toc229052206"/>
      <w:bookmarkEnd w:id="38"/>
      <w:r w:rsidRPr="00643BCE">
        <w:rPr>
          <w:b/>
          <w:bCs/>
          <w:sz w:val="22"/>
          <w:szCs w:val="22"/>
        </w:rPr>
        <w:t>6</w:t>
      </w:r>
      <w:r w:rsidR="00805665">
        <w:rPr>
          <w:b/>
          <w:bCs/>
          <w:sz w:val="22"/>
          <w:szCs w:val="22"/>
        </w:rPr>
        <w:t>. Информационная безопасность</w:t>
      </w:r>
      <w:bookmarkEnd w:id="39"/>
    </w:p>
    <w:p w:rsidR="00773E2C" w:rsidRDefault="00773E2C">
      <w:pPr>
        <w:tabs>
          <w:tab w:val="left" w:pos="1260"/>
        </w:tabs>
        <w:ind w:firstLine="567"/>
        <w:jc w:val="both"/>
        <w:rPr>
          <w:rFonts w:eastAsia="Calibri"/>
          <w:sz w:val="22"/>
          <w:szCs w:val="22"/>
          <w:lang w:eastAsia="en-US"/>
        </w:rPr>
      </w:pPr>
    </w:p>
    <w:p w:rsidR="00773E2C" w:rsidRDefault="00805665">
      <w:pPr>
        <w:tabs>
          <w:tab w:val="left" w:pos="1260"/>
        </w:tabs>
        <w:ind w:firstLine="567"/>
        <w:jc w:val="both"/>
        <w:rPr>
          <w:rFonts w:eastAsia="Calibri"/>
          <w:color w:val="000000"/>
          <w:sz w:val="22"/>
          <w:szCs w:val="22"/>
          <w:lang w:eastAsia="en-US"/>
        </w:rPr>
      </w:pPr>
      <w:r>
        <w:rPr>
          <w:rFonts w:eastAsia="Calibri"/>
          <w:color w:val="000000"/>
          <w:sz w:val="22"/>
          <w:szCs w:val="22"/>
          <w:lang w:eastAsia="en-US"/>
        </w:rPr>
        <w:t>В ПАО «БАНК УРАЛСИБ» обеспечение информационной безопасности является одним из важнейших поддерживающих и контрольных процессов для эффективного ведения бизнеса с приемлемым уровнем рисков. Обеспечение информационной безопасности рассматривается как один из способов повышения лояльности клиентов, доверия партнеров и регуляторов к Банку.</w:t>
      </w:r>
    </w:p>
    <w:p w:rsidR="00773E2C" w:rsidRDefault="00805665">
      <w:pPr>
        <w:tabs>
          <w:tab w:val="left" w:pos="1260"/>
        </w:tabs>
        <w:ind w:firstLine="567"/>
        <w:jc w:val="both"/>
        <w:rPr>
          <w:rFonts w:eastAsia="Calibri"/>
          <w:color w:val="000000"/>
          <w:sz w:val="22"/>
          <w:szCs w:val="22"/>
          <w:lang w:eastAsia="en-US"/>
        </w:rPr>
      </w:pPr>
      <w:r>
        <w:rPr>
          <w:rFonts w:eastAsia="Calibri"/>
          <w:color w:val="000000"/>
          <w:sz w:val="22"/>
          <w:szCs w:val="22"/>
          <w:lang w:eastAsia="en-US"/>
        </w:rPr>
        <w:t>Основными целями обеспечения информационной безопасности и управления рисками информационной безопасности в Банке является:</w:t>
      </w:r>
    </w:p>
    <w:p w:rsidR="00773E2C" w:rsidRDefault="00805665">
      <w:pPr>
        <w:numPr>
          <w:ilvl w:val="0"/>
          <w:numId w:val="23"/>
        </w:numPr>
        <w:tabs>
          <w:tab w:val="left" w:pos="851"/>
        </w:tabs>
        <w:autoSpaceDE w:val="0"/>
        <w:autoSpaceDN w:val="0"/>
        <w:adjustRightInd w:val="0"/>
        <w:ind w:left="851" w:hanging="284"/>
        <w:jc w:val="both"/>
        <w:rPr>
          <w:rFonts w:eastAsia="Calibri"/>
          <w:color w:val="000000"/>
          <w:sz w:val="22"/>
          <w:szCs w:val="22"/>
          <w:lang w:eastAsia="en-US"/>
        </w:rPr>
      </w:pPr>
      <w:r>
        <w:rPr>
          <w:rFonts w:eastAsia="Calibri"/>
          <w:color w:val="000000"/>
          <w:sz w:val="22"/>
          <w:szCs w:val="22"/>
          <w:lang w:eastAsia="en-US"/>
        </w:rPr>
        <w:t xml:space="preserve">защита </w:t>
      </w:r>
      <w:r>
        <w:rPr>
          <w:color w:val="000000"/>
          <w:sz w:val="22"/>
          <w:szCs w:val="22"/>
        </w:rPr>
        <w:t>интересов</w:t>
      </w:r>
      <w:r>
        <w:rPr>
          <w:rFonts w:eastAsia="Calibri"/>
          <w:color w:val="000000"/>
          <w:sz w:val="22"/>
          <w:szCs w:val="22"/>
          <w:lang w:eastAsia="en-US"/>
        </w:rPr>
        <w:t xml:space="preserve"> акционеров, клиентов, партнеров и работников Банка, содействие в эффективной реализации бизнес-целей Банка, обеспечение способности поддерживать банковскую деятельность в долгосрочной перспективе за счет эффективного управления рисками информационной безопасности;</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обеспечение соответствия Системы управления рисками информационной безопасности характеру и масштабам деятельности Банка;</w:t>
      </w:r>
    </w:p>
    <w:p w:rsidR="00773E2C" w:rsidRDefault="00805665">
      <w:pPr>
        <w:numPr>
          <w:ilvl w:val="0"/>
          <w:numId w:val="23"/>
        </w:numPr>
        <w:tabs>
          <w:tab w:val="left" w:pos="851"/>
        </w:tabs>
        <w:autoSpaceDE w:val="0"/>
        <w:autoSpaceDN w:val="0"/>
        <w:adjustRightInd w:val="0"/>
        <w:ind w:left="851" w:hanging="284"/>
        <w:jc w:val="both"/>
        <w:rPr>
          <w:color w:val="000000"/>
          <w:sz w:val="22"/>
          <w:szCs w:val="22"/>
        </w:rPr>
      </w:pPr>
      <w:r>
        <w:rPr>
          <w:color w:val="000000"/>
          <w:sz w:val="22"/>
          <w:szCs w:val="22"/>
        </w:rPr>
        <w:t>обеспечение эффективности деятельности Банка при поддержании риска информационной безопасности на приемлемом для Банка уровне, обеспечивающем сохранение капитала и устойчивую работу Банка. Приоритетным направлением является обеспечение максимальной сохранности активов и капитала на основе уменьшения (исключения) возможных потерь от реализации риска информационной безопасности.</w:t>
      </w:r>
    </w:p>
    <w:p w:rsidR="00773E2C" w:rsidRDefault="00805665">
      <w:pPr>
        <w:tabs>
          <w:tab w:val="left" w:pos="1260"/>
        </w:tabs>
        <w:ind w:firstLine="567"/>
        <w:jc w:val="both"/>
        <w:rPr>
          <w:rFonts w:eastAsia="Calibri"/>
          <w:color w:val="000000"/>
          <w:sz w:val="22"/>
          <w:szCs w:val="22"/>
          <w:lang w:eastAsia="en-US"/>
        </w:rPr>
      </w:pPr>
      <w:r>
        <w:rPr>
          <w:rFonts w:eastAsia="Calibri"/>
          <w:color w:val="000000"/>
          <w:sz w:val="22"/>
          <w:szCs w:val="22"/>
          <w:lang w:eastAsia="en-US"/>
        </w:rPr>
        <w:t>Стратегические приоритеты по развитию информационной безопасности формируются на основании утвержденной Стратегии развития Банка, Стратегии развития информационных технологий и Стратегии развития информационной безопасности.</w:t>
      </w:r>
    </w:p>
    <w:p w:rsidR="00773E2C" w:rsidRDefault="00805665">
      <w:pPr>
        <w:tabs>
          <w:tab w:val="left" w:pos="1260"/>
        </w:tabs>
        <w:ind w:firstLine="567"/>
        <w:jc w:val="both"/>
        <w:rPr>
          <w:rFonts w:eastAsia="Calibri"/>
          <w:color w:val="000000"/>
          <w:sz w:val="22"/>
          <w:szCs w:val="22"/>
          <w:lang w:eastAsia="en-US"/>
        </w:rPr>
      </w:pPr>
      <w:r>
        <w:rPr>
          <w:rFonts w:eastAsia="Calibri"/>
          <w:color w:val="000000"/>
          <w:sz w:val="22"/>
          <w:szCs w:val="22"/>
          <w:lang w:eastAsia="en-US"/>
        </w:rPr>
        <w:t>Операционный план развития информационной безопасности основывается на стратегических приоритетах информационной безопасности и формируется исходя из:</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приоритетных рисков информационной безопасности, которые являются актуальными и наиболее значимыми на момент начала планирования;</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произошедших изменений в действующем законодательстве Российской Федерации в области информационной безопасности, планируемых к вступлению в силу норм законов, иных нормативных правовых актов и информации о планируемых в них изменениях в течение одного года;</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 xml:space="preserve">совершенствования мер и средств защиты информации, включая задачи по </w:t>
      </w:r>
      <w:proofErr w:type="spellStart"/>
      <w:r>
        <w:rPr>
          <w:color w:val="000000"/>
          <w:sz w:val="22"/>
          <w:szCs w:val="22"/>
        </w:rPr>
        <w:t>импортозамещению</w:t>
      </w:r>
      <w:proofErr w:type="spellEnd"/>
      <w:r>
        <w:rPr>
          <w:color w:val="000000"/>
          <w:sz w:val="22"/>
          <w:szCs w:val="22"/>
        </w:rPr>
        <w:t>;</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статистики инцидентов информационной безопасности за последний год и динамики ее изменений;</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результатов проведенных внешних аудитов и оценок соответствия требованиям информационной безопасности в рамках целевых уровней, установленных регуляторами и стандартами в области информационной безопасности;</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планируемых изменений в ИТ-инфраструктуре;</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lastRenderedPageBreak/>
        <w:t>результатов анализа применяемых злоумышленниками методов и средств несанкционированных воздействий на ИТ-инфраструктуру и мошенничества;</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целевых ориентиров, установленных заказчиками сервисов информационной безопасности;</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действующих ограничений, в том числе, ресурсного характера.</w:t>
      </w:r>
    </w:p>
    <w:p w:rsidR="00773E2C" w:rsidRDefault="00805665">
      <w:pPr>
        <w:tabs>
          <w:tab w:val="left" w:pos="1260"/>
        </w:tabs>
        <w:ind w:firstLine="567"/>
        <w:jc w:val="both"/>
        <w:rPr>
          <w:rFonts w:eastAsia="Calibri"/>
          <w:color w:val="000000"/>
          <w:sz w:val="22"/>
          <w:szCs w:val="22"/>
          <w:lang w:eastAsia="en-US"/>
        </w:rPr>
      </w:pPr>
      <w:r>
        <w:rPr>
          <w:rFonts w:eastAsia="Calibri"/>
          <w:color w:val="000000"/>
          <w:sz w:val="22"/>
          <w:szCs w:val="22"/>
          <w:lang w:eastAsia="en-US"/>
        </w:rPr>
        <w:t>В целях эффективного обеспечения информационной безопасности в Банке реализована Система обеспечения информационной безопасности (далее СОИБ) и Система управления рисками информационной безопасности, направленные на обеспечение:</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финансовой и операционной надежности (непрерывности) бизнеса, а также осведомленности об уровне риска информационной безопасности, присущего деятельности Банка;</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proofErr w:type="spellStart"/>
      <w:r>
        <w:rPr>
          <w:color w:val="000000"/>
          <w:sz w:val="22"/>
          <w:szCs w:val="22"/>
        </w:rPr>
        <w:t>киберустойчивости</w:t>
      </w:r>
      <w:proofErr w:type="spellEnd"/>
      <w:r>
        <w:rPr>
          <w:color w:val="000000"/>
          <w:sz w:val="22"/>
          <w:szCs w:val="22"/>
        </w:rPr>
        <w:t xml:space="preserve"> и безопасного функционирования информационных ресурсов Банка;</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эффективной и достаточной реализации мер, направленных на снижение риска информационной безопасности до допустимого уровня;</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интеграции процессов управления рисками, связанными с применением информационных технологий, и риском информационной безопасности в общий процесс риск-менеджмента организации;</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своевременного выявления и реагирования на инциденты информационной безопасности;</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эффективного управления взаимоотношениями с внешними поставщиками услуг и связанными с ними рисками;</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оценки влияния на деятельность Банка инвестиций, направленных на развитие информационных технологий и обеспечение информационной безопасности.</w:t>
      </w:r>
    </w:p>
    <w:p w:rsidR="00773E2C" w:rsidRDefault="00805665">
      <w:pPr>
        <w:tabs>
          <w:tab w:val="left" w:pos="1260"/>
        </w:tabs>
        <w:ind w:firstLine="567"/>
        <w:jc w:val="both"/>
        <w:rPr>
          <w:rFonts w:eastAsia="Calibri"/>
          <w:color w:val="000000"/>
          <w:sz w:val="22"/>
          <w:szCs w:val="22"/>
          <w:lang w:eastAsia="en-US"/>
        </w:rPr>
      </w:pPr>
      <w:r>
        <w:rPr>
          <w:rFonts w:eastAsia="Calibri"/>
          <w:color w:val="000000"/>
          <w:sz w:val="22"/>
          <w:szCs w:val="22"/>
          <w:lang w:eastAsia="en-US"/>
        </w:rPr>
        <w:t>В рамках обеспечения информационной безопасности в Банке утверждена Политика информационной безопасности Публичного акционерного общества «БАНК УРАЛСИБ» и Банковской группы Публичного акционерного общества «БАНК УРАЛСИБ».</w:t>
      </w:r>
    </w:p>
    <w:p w:rsidR="00773E2C" w:rsidRDefault="00805665">
      <w:pPr>
        <w:tabs>
          <w:tab w:val="left" w:pos="1260"/>
        </w:tabs>
        <w:ind w:firstLine="567"/>
        <w:jc w:val="both"/>
        <w:rPr>
          <w:rFonts w:eastAsia="Calibri"/>
          <w:color w:val="000000"/>
          <w:sz w:val="22"/>
          <w:szCs w:val="22"/>
          <w:lang w:eastAsia="en-US"/>
        </w:rPr>
      </w:pPr>
      <w:r>
        <w:rPr>
          <w:rFonts w:eastAsia="Calibri"/>
          <w:color w:val="000000"/>
          <w:sz w:val="22"/>
          <w:szCs w:val="22"/>
          <w:lang w:eastAsia="en-US"/>
        </w:rPr>
        <w:t>В рамках СОИБ применяются базовые организационные и технические меры защиты информации для объектов информатизации, в том числе автоматизированные системы, используемые Банком для выполнения технологических и бизнес-процессов, связанных с предоставлением финансовых, банковских услуг, а также услуг по осуществлению переводов денежных средств.</w:t>
      </w:r>
    </w:p>
    <w:p w:rsidR="00773E2C" w:rsidRDefault="00805665">
      <w:pPr>
        <w:tabs>
          <w:tab w:val="left" w:pos="1260"/>
        </w:tabs>
        <w:ind w:firstLine="567"/>
        <w:jc w:val="both"/>
        <w:rPr>
          <w:rFonts w:eastAsia="Calibri"/>
          <w:color w:val="000000"/>
          <w:sz w:val="22"/>
          <w:szCs w:val="22"/>
          <w:lang w:eastAsia="en-US"/>
        </w:rPr>
      </w:pPr>
      <w:r>
        <w:rPr>
          <w:rFonts w:eastAsia="Calibri"/>
          <w:color w:val="000000"/>
          <w:sz w:val="22"/>
          <w:szCs w:val="22"/>
          <w:lang w:eastAsia="en-US"/>
        </w:rPr>
        <w:t>При построении СОИБ в Банке выделяются следующие процессы, направленные на управление рисками информационной безопасности:</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обеспечение защиты информации при управлении доступом, включая управление учетными записями и правами субъектов логического доступа; идентификацию, аутентификацию, авторизацию (разграничение доступа) при осуществлении логического доступа; защиту информации при осуществлении физического доступа; идентификацию, классификацию и учет ресурсов и объектов доступа;</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обеспечение защиты вычислительных сетей, включая сегментацию и межсетевое экранирование вычислительных сетей; выявление сетевых вторжений и атак; защиту информации, передаваемой по вычислительным сетям; защиту беспроводных сетей;</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применение технических средств защиты, включая процессы обеспечения контроля целостности и защищенности информационной инфраструктуры, защиту от вредоносного кода, защиту среды виртуализации, защиту информации при осуществлении удаленного логического доступа;</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защита информации и предотвращение утечек информации;</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управление инцидентами защиты информации, включая мониторинг и анализ событий защиты информации; обнаружение инцидентов защиты информации и реагирование на них;</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противодействие мошенничеству в информационных системах;</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криптографическая защита.</w:t>
      </w:r>
    </w:p>
    <w:p w:rsidR="00773E2C" w:rsidRDefault="00805665">
      <w:pPr>
        <w:tabs>
          <w:tab w:val="left" w:pos="1260"/>
        </w:tabs>
        <w:ind w:firstLine="567"/>
        <w:jc w:val="both"/>
        <w:rPr>
          <w:rFonts w:eastAsia="Calibri"/>
          <w:color w:val="000000"/>
          <w:sz w:val="22"/>
          <w:szCs w:val="22"/>
          <w:lang w:eastAsia="en-US"/>
        </w:rPr>
      </w:pPr>
      <w:r>
        <w:rPr>
          <w:rFonts w:eastAsia="Calibri"/>
          <w:color w:val="000000"/>
          <w:sz w:val="22"/>
          <w:szCs w:val="22"/>
          <w:lang w:eastAsia="en-US"/>
        </w:rPr>
        <w:t>Для эффективного функционирования СОИБ в Банке осуществляется планирование, реализация, контроль, совершенствование по каждому процессу информационной безопасности. Снижение риска информационной безопасности обеспечивается путем надлежащего выбора, повышения полноты и качества применения соответствующих мер защиты информации.</w:t>
      </w:r>
    </w:p>
    <w:p w:rsidR="00773E2C" w:rsidRDefault="00805665">
      <w:pPr>
        <w:tabs>
          <w:tab w:val="left" w:pos="1260"/>
        </w:tabs>
        <w:ind w:firstLine="567"/>
        <w:jc w:val="both"/>
        <w:rPr>
          <w:color w:val="000000"/>
          <w:sz w:val="22"/>
          <w:szCs w:val="22"/>
        </w:rPr>
      </w:pPr>
      <w:r>
        <w:rPr>
          <w:rFonts w:eastAsia="Calibri"/>
          <w:color w:val="000000"/>
          <w:sz w:val="22"/>
          <w:szCs w:val="22"/>
          <w:lang w:eastAsia="en-US"/>
        </w:rPr>
        <w:t>Оценка соответствия уровня защиты информации в отношении объектов информационной инфраструктуры Банка проводится в соответствии с требованиями стандартов в области информационной безопасности на регулярной основе с привлечением независимых аудиторов.</w:t>
      </w:r>
    </w:p>
    <w:p w:rsidR="00773E2C" w:rsidRDefault="00805665">
      <w:pPr>
        <w:tabs>
          <w:tab w:val="left" w:pos="1260"/>
        </w:tabs>
        <w:ind w:firstLine="567"/>
        <w:jc w:val="both"/>
        <w:rPr>
          <w:rFonts w:eastAsia="Calibri"/>
          <w:color w:val="000000"/>
          <w:sz w:val="22"/>
          <w:szCs w:val="22"/>
          <w:lang w:eastAsia="en-US"/>
        </w:rPr>
      </w:pPr>
      <w:r>
        <w:rPr>
          <w:rFonts w:eastAsia="Calibri"/>
          <w:color w:val="000000"/>
          <w:sz w:val="22"/>
          <w:szCs w:val="22"/>
          <w:lang w:eastAsia="en-US"/>
        </w:rPr>
        <w:t xml:space="preserve">Банк обеспечивает реализацию стандартного уровня защиты информации для объектов информационной инфраструктуры, используемых для обработки, передачи, хранения защищаемой информации в целях осуществления банковских операций, определенных национальным стандартом </w:t>
      </w:r>
      <w:r>
        <w:rPr>
          <w:rFonts w:eastAsia="Calibri"/>
          <w:color w:val="000000"/>
          <w:sz w:val="22"/>
          <w:szCs w:val="22"/>
          <w:lang w:eastAsia="en-US"/>
        </w:rPr>
        <w:lastRenderedPageBreak/>
        <w:t>Российской Федерации ГОСТ Р 57580.1-2017 «Безопасность финансовых (банковских) операций. Защита информации финансовых организаций. Базовый состав организационных и технических мер».</w:t>
      </w:r>
    </w:p>
    <w:p w:rsidR="00773E2C" w:rsidRDefault="00805665">
      <w:pPr>
        <w:tabs>
          <w:tab w:val="left" w:pos="1260"/>
        </w:tabs>
        <w:ind w:firstLine="567"/>
        <w:jc w:val="both"/>
        <w:rPr>
          <w:rFonts w:eastAsia="Calibri"/>
          <w:color w:val="000000"/>
          <w:sz w:val="22"/>
          <w:szCs w:val="22"/>
          <w:lang w:eastAsia="en-US"/>
        </w:rPr>
      </w:pPr>
      <w:r>
        <w:rPr>
          <w:rFonts w:eastAsia="Calibri"/>
          <w:color w:val="000000"/>
          <w:sz w:val="22"/>
          <w:szCs w:val="22"/>
          <w:lang w:eastAsia="en-US"/>
        </w:rPr>
        <w:t>В соответствии с Указом Президента Российской Федерации № 250 от 01.05.2022 «О дополнительных мерах по обеспечению информационной безопасности Российской Федерации» в Банке реализуются проекты по замещению зарубежных средств защиты информации.</w:t>
      </w:r>
    </w:p>
    <w:p w:rsidR="00773E2C" w:rsidRDefault="00805665">
      <w:pPr>
        <w:tabs>
          <w:tab w:val="left" w:pos="1260"/>
        </w:tabs>
        <w:ind w:firstLine="567"/>
        <w:jc w:val="both"/>
        <w:rPr>
          <w:rFonts w:eastAsia="Calibri"/>
          <w:color w:val="000000"/>
          <w:sz w:val="22"/>
          <w:szCs w:val="22"/>
          <w:lang w:eastAsia="en-US"/>
        </w:rPr>
      </w:pPr>
      <w:r>
        <w:rPr>
          <w:rFonts w:eastAsia="Calibri"/>
          <w:color w:val="000000"/>
          <w:sz w:val="22"/>
          <w:szCs w:val="22"/>
          <w:lang w:eastAsia="en-US"/>
        </w:rPr>
        <w:t xml:space="preserve">В рамках управления риском информационной безопасности в Банке утверждена Политика управления риском информационной безопасности Публичного акционерного общества «БАНК УРАЛСИБ» и Банковской группы Публичного акционерного общества «БАНК УРАЛСИБ». При определении принципов и подходов к организации Системы управления рисками информационной безопасности в Банке принимается во внимание влияние новых информационных технологий, а также степень существенности влияния на Банк рисков, связанных с реализацией информационных угроз, в том числе обусловленных недостатками (уязвимостью) применяемых информационных технологий, а также </w:t>
      </w:r>
      <w:proofErr w:type="spellStart"/>
      <w:r>
        <w:rPr>
          <w:rFonts w:eastAsia="Calibri"/>
          <w:color w:val="000000"/>
          <w:sz w:val="22"/>
          <w:szCs w:val="22"/>
          <w:lang w:eastAsia="en-US"/>
        </w:rPr>
        <w:t>киберугроз</w:t>
      </w:r>
      <w:proofErr w:type="spellEnd"/>
      <w:r>
        <w:rPr>
          <w:rFonts w:eastAsia="Calibri"/>
          <w:color w:val="000000"/>
          <w:sz w:val="22"/>
          <w:szCs w:val="22"/>
          <w:lang w:eastAsia="en-US"/>
        </w:rPr>
        <w:t>, обусловленных возможностью реализации компьютерных атак.</w:t>
      </w:r>
    </w:p>
    <w:p w:rsidR="00773E2C" w:rsidRDefault="00805665">
      <w:pPr>
        <w:tabs>
          <w:tab w:val="left" w:pos="1260"/>
        </w:tabs>
        <w:ind w:firstLine="567"/>
        <w:jc w:val="both"/>
        <w:rPr>
          <w:rFonts w:eastAsia="Calibri"/>
          <w:color w:val="000000"/>
          <w:sz w:val="22"/>
          <w:szCs w:val="22"/>
          <w:lang w:eastAsia="en-US"/>
        </w:rPr>
      </w:pPr>
      <w:r>
        <w:rPr>
          <w:rFonts w:eastAsia="Calibri"/>
          <w:color w:val="000000"/>
          <w:sz w:val="22"/>
          <w:szCs w:val="22"/>
          <w:lang w:eastAsia="en-US"/>
        </w:rPr>
        <w:t>В Банке реализована система управления риском информационной безопасности, в рамках которой осуществляется:</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идентификация риска информационной безопасности;</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сбор и регистрация информации о событиях риска информационной безопасности;</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определение и возмещение потерь от реализации событий риска информационной безопасности;</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количественная и качественная оценка уровня риска информационной безопасности;</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выбор и применение способа реагирования на выявленный риск информационной безопасности;</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информирование работников Банка по вопросам, связанным с управлением риском информационной безопасности (развитие риск- культуры);</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идентификация и учет объектов информатизации;</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реализация СОИБ, в рамках которой определяется перечень применимых в Банке базовых мер защиты информации;</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адаптация (уточнение) выбранных мер с учетом модели угроз и нарушителей информационной безопасности;</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применение компенсирующих мер, направленных на нейтрализацию угроз безопасности информации;</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оценка полноты и качества реализуемых мер, направленных на снижение риска информационной безопасности;</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оценка остаточного уровня риска, связанного с неполным или недостаточным применением мер защиты информации, входящих в СОИБ;</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установление перечня процессов, отнесенных к направлениям деятельности, с указанием уровня их критичности;</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 xml:space="preserve">установление и мониторинг плановых показателей уровня риска </w:t>
      </w:r>
      <w:r>
        <w:rPr>
          <w:rFonts w:eastAsia="Calibri"/>
          <w:color w:val="000000"/>
          <w:sz w:val="22"/>
          <w:szCs w:val="22"/>
          <w:lang w:eastAsia="en-US"/>
        </w:rPr>
        <w:t>информационной безопасности</w:t>
      </w:r>
      <w:r>
        <w:rPr>
          <w:color w:val="000000"/>
          <w:sz w:val="22"/>
          <w:szCs w:val="22"/>
        </w:rPr>
        <w:t>;</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предоставление управленческой отчетности органам управления Банка;</w:t>
      </w:r>
    </w:p>
    <w:p w:rsidR="00773E2C" w:rsidRDefault="00805665">
      <w:pPr>
        <w:numPr>
          <w:ilvl w:val="0"/>
          <w:numId w:val="22"/>
        </w:numPr>
        <w:tabs>
          <w:tab w:val="left" w:pos="851"/>
        </w:tabs>
        <w:autoSpaceDE w:val="0"/>
        <w:autoSpaceDN w:val="0"/>
        <w:adjustRightInd w:val="0"/>
        <w:ind w:left="851" w:hanging="284"/>
        <w:jc w:val="both"/>
        <w:rPr>
          <w:color w:val="000000"/>
          <w:sz w:val="22"/>
          <w:szCs w:val="22"/>
        </w:rPr>
      </w:pPr>
      <w:r>
        <w:rPr>
          <w:color w:val="000000"/>
          <w:sz w:val="22"/>
          <w:szCs w:val="22"/>
        </w:rPr>
        <w:t>ежегодная оценка качества и эффективности функционирования системы управления риском информационной безопасности.</w:t>
      </w:r>
    </w:p>
    <w:p w:rsidR="00773E2C" w:rsidRDefault="00805665">
      <w:pPr>
        <w:tabs>
          <w:tab w:val="left" w:pos="1260"/>
        </w:tabs>
        <w:ind w:firstLine="567"/>
        <w:jc w:val="both"/>
        <w:rPr>
          <w:rFonts w:eastAsia="Calibri"/>
          <w:color w:val="000000"/>
          <w:sz w:val="22"/>
          <w:szCs w:val="22"/>
          <w:lang w:eastAsia="en-US"/>
        </w:rPr>
      </w:pPr>
      <w:r>
        <w:rPr>
          <w:rFonts w:eastAsia="Calibri"/>
          <w:color w:val="000000"/>
          <w:sz w:val="22"/>
          <w:szCs w:val="22"/>
          <w:lang w:eastAsia="en-US"/>
        </w:rPr>
        <w:t xml:space="preserve">При определении принципов и подходов к организации Системы управления риском информационной безопасности в Банке принимается во внимание влияние новых информационных технологий, степень существенности влияния на Банк рисков, связанных с реализацией информационных угроз, в том числе обусловленных недостатками (уязвимостью) применяемых информационных технологий, а также </w:t>
      </w:r>
      <w:proofErr w:type="spellStart"/>
      <w:r>
        <w:rPr>
          <w:rFonts w:eastAsia="Calibri"/>
          <w:color w:val="000000"/>
          <w:sz w:val="22"/>
          <w:szCs w:val="22"/>
          <w:lang w:eastAsia="en-US"/>
        </w:rPr>
        <w:t>киберугроз</w:t>
      </w:r>
      <w:proofErr w:type="spellEnd"/>
      <w:r>
        <w:rPr>
          <w:rFonts w:eastAsia="Calibri"/>
          <w:color w:val="000000"/>
          <w:sz w:val="22"/>
          <w:szCs w:val="22"/>
          <w:lang w:eastAsia="en-US"/>
        </w:rPr>
        <w:t>, обусловленных возможностью реализации компьютерных атак.</w:t>
      </w:r>
    </w:p>
    <w:p w:rsidR="00773E2C" w:rsidRDefault="00805665">
      <w:pPr>
        <w:tabs>
          <w:tab w:val="left" w:pos="1260"/>
        </w:tabs>
        <w:ind w:firstLine="567"/>
        <w:jc w:val="both"/>
        <w:rPr>
          <w:rFonts w:eastAsia="Calibri"/>
          <w:color w:val="000000"/>
          <w:sz w:val="22"/>
          <w:szCs w:val="22"/>
          <w:lang w:eastAsia="en-US"/>
        </w:rPr>
      </w:pPr>
      <w:r>
        <w:rPr>
          <w:rFonts w:eastAsia="Calibri"/>
          <w:color w:val="000000"/>
          <w:sz w:val="22"/>
          <w:szCs w:val="22"/>
          <w:lang w:eastAsia="en-US"/>
        </w:rPr>
        <w:t>В Банке на регулярной основе проводится мониторинг значений контрольных показателей уровня риска информационной безопасности, ключевых индикаторов риска информационной безопасности с учетом ежегодно устанавливаемых пороговых значений. Ежегодная оценка качества и эффективности функционирования Системы управления риском информационной безопасности проводится Службой внутреннего аудита Банка.</w:t>
      </w:r>
    </w:p>
    <w:p w:rsidR="00773E2C" w:rsidRDefault="00805665">
      <w:pPr>
        <w:tabs>
          <w:tab w:val="left" w:pos="1260"/>
        </w:tabs>
        <w:ind w:firstLine="567"/>
        <w:jc w:val="both"/>
        <w:rPr>
          <w:rFonts w:eastAsia="Calibri"/>
          <w:color w:val="000000"/>
          <w:sz w:val="22"/>
          <w:szCs w:val="22"/>
          <w:lang w:eastAsia="en-US"/>
        </w:rPr>
      </w:pPr>
      <w:r>
        <w:rPr>
          <w:rFonts w:eastAsia="Calibri"/>
          <w:color w:val="000000"/>
          <w:sz w:val="22"/>
          <w:szCs w:val="22"/>
          <w:lang w:eastAsia="en-US"/>
        </w:rPr>
        <w:t>Компетенции и ответственность органов управления, подразделений и работников Банка в рамках управления риском информационной безопасности определяется внутренними документами Банка.</w:t>
      </w:r>
    </w:p>
    <w:p w:rsidR="00773E2C" w:rsidRDefault="00805665">
      <w:pPr>
        <w:tabs>
          <w:tab w:val="left" w:pos="1260"/>
        </w:tabs>
        <w:ind w:firstLine="567"/>
        <w:jc w:val="both"/>
        <w:rPr>
          <w:rFonts w:eastAsia="Calibri"/>
          <w:color w:val="000000"/>
          <w:sz w:val="22"/>
          <w:szCs w:val="22"/>
          <w:lang w:eastAsia="en-US"/>
        </w:rPr>
      </w:pPr>
      <w:r>
        <w:rPr>
          <w:rFonts w:eastAsia="Calibri"/>
          <w:color w:val="000000"/>
          <w:sz w:val="22"/>
          <w:szCs w:val="22"/>
          <w:lang w:eastAsia="en-US"/>
        </w:rPr>
        <w:lastRenderedPageBreak/>
        <w:t>Полномочия по обеспечению информационной безопасности в Банке, в том числе по обнаружению, предупреждению и ликвидации последствий компьютерных атак, и реагированию на компьютерные инциденты, а также функционированию Системы обеспечения информационной безопасности и Системы управления риском информационной безопасности Банка и Банковской группы возлагаются на Заместителя Председателя Правления, Управление информационной безопасности Службы безопасности. Управление информационной безопасности Службы безопасности в своей деятельности обладает независимостью от ИТ-подразделений, имеет выделенный бюджет и штат квалифицированных специалистов. Управление информационной безопасности на регулярной основе предоставляет органам управления Банка и курирующему Заместителю Председателя Правления Банка отчетность в рамках управления риском информационной безопасности. Перечень и периодичность предоставления отчетности определены внутренними документами Банка в соответствии с требованиями действующего законодательства Российской Федерации.</w:t>
      </w:r>
    </w:p>
    <w:p w:rsidR="00773E2C" w:rsidRDefault="00773E2C">
      <w:pPr>
        <w:tabs>
          <w:tab w:val="left" w:pos="1260"/>
        </w:tabs>
        <w:ind w:firstLine="567"/>
        <w:jc w:val="both"/>
        <w:rPr>
          <w:rFonts w:eastAsia="Calibri"/>
          <w:sz w:val="22"/>
          <w:szCs w:val="22"/>
          <w:lang w:eastAsia="en-US"/>
        </w:rPr>
      </w:pPr>
    </w:p>
    <w:p w:rsidR="00773E2C" w:rsidRDefault="001D7E77">
      <w:pPr>
        <w:keepNext/>
        <w:ind w:firstLine="567"/>
        <w:jc w:val="both"/>
        <w:outlineLvl w:val="1"/>
        <w:rPr>
          <w:b/>
          <w:bCs/>
          <w:sz w:val="22"/>
          <w:szCs w:val="22"/>
        </w:rPr>
      </w:pPr>
      <w:bookmarkStart w:id="40" w:name="_Toc229052207"/>
      <w:r w:rsidRPr="001D7E77">
        <w:rPr>
          <w:b/>
          <w:bCs/>
          <w:sz w:val="22"/>
          <w:szCs w:val="22"/>
        </w:rPr>
        <w:t>7</w:t>
      </w:r>
      <w:r w:rsidR="00805665">
        <w:rPr>
          <w:b/>
          <w:bCs/>
          <w:sz w:val="22"/>
          <w:szCs w:val="22"/>
        </w:rPr>
        <w:t>. Информация о совершенных</w:t>
      </w:r>
      <w:r w:rsidR="00C960AC" w:rsidDel="00C960AC">
        <w:rPr>
          <w:b/>
          <w:bCs/>
          <w:sz w:val="22"/>
          <w:szCs w:val="22"/>
        </w:rPr>
        <w:t xml:space="preserve"> </w:t>
      </w:r>
      <w:r w:rsidR="00805665">
        <w:rPr>
          <w:b/>
          <w:bCs/>
          <w:sz w:val="22"/>
          <w:szCs w:val="22"/>
        </w:rPr>
        <w:t>в отчетном году крупных сделках, и сделках, в совершении которых имеется заинтересованность</w:t>
      </w:r>
      <w:bookmarkEnd w:id="40"/>
    </w:p>
    <w:p w:rsidR="00773E2C" w:rsidRDefault="00773E2C">
      <w:pPr>
        <w:tabs>
          <w:tab w:val="left" w:pos="1260"/>
        </w:tabs>
        <w:ind w:firstLine="567"/>
        <w:jc w:val="both"/>
        <w:rPr>
          <w:rFonts w:eastAsia="Calibri"/>
          <w:color w:val="000000"/>
          <w:sz w:val="22"/>
          <w:szCs w:val="22"/>
          <w:lang w:eastAsia="en-US"/>
        </w:rPr>
      </w:pPr>
    </w:p>
    <w:p w:rsidR="00773E2C" w:rsidRDefault="007E39F9">
      <w:pPr>
        <w:ind w:firstLine="567"/>
        <w:jc w:val="both"/>
        <w:rPr>
          <w:sz w:val="22"/>
        </w:rPr>
      </w:pPr>
      <w:r>
        <w:rPr>
          <w:rFonts w:eastAsia="Calibri"/>
          <w:color w:val="000000"/>
          <w:sz w:val="22"/>
          <w:szCs w:val="22"/>
          <w:lang w:eastAsia="en-US"/>
        </w:rPr>
        <w:t>С</w:t>
      </w:r>
      <w:r w:rsidR="00805665">
        <w:rPr>
          <w:rFonts w:eastAsia="Calibri"/>
          <w:color w:val="000000"/>
          <w:sz w:val="22"/>
          <w:szCs w:val="22"/>
          <w:lang w:eastAsia="en-US"/>
        </w:rPr>
        <w:t xml:space="preserve">делки, признаваемые в соответствии с Федеральным законом «Об акционерных обществах» крупными сделками и сделками, в совершении которых имелась заинтересованность, </w:t>
      </w:r>
      <w:r w:rsidR="00805665">
        <w:rPr>
          <w:sz w:val="22"/>
        </w:rPr>
        <w:t xml:space="preserve">в 2025 году </w:t>
      </w:r>
      <w:r>
        <w:rPr>
          <w:sz w:val="22"/>
        </w:rPr>
        <w:t xml:space="preserve">Банком </w:t>
      </w:r>
      <w:r w:rsidR="00805665">
        <w:rPr>
          <w:sz w:val="22"/>
        </w:rPr>
        <w:t>не совершались (не заключались)</w:t>
      </w:r>
      <w:r w:rsidR="00805665">
        <w:rPr>
          <w:rFonts w:eastAsia="Calibri"/>
          <w:color w:val="000000"/>
          <w:sz w:val="22"/>
          <w:szCs w:val="22"/>
          <w:lang w:eastAsia="en-US"/>
        </w:rPr>
        <w:t>.</w:t>
      </w:r>
    </w:p>
    <w:p w:rsidR="00773E2C" w:rsidRDefault="00773E2C">
      <w:pPr>
        <w:tabs>
          <w:tab w:val="left" w:pos="1260"/>
        </w:tabs>
        <w:ind w:firstLine="567"/>
        <w:jc w:val="both"/>
        <w:rPr>
          <w:rFonts w:eastAsia="Calibri"/>
          <w:color w:val="000000"/>
          <w:sz w:val="22"/>
          <w:szCs w:val="22"/>
          <w:lang w:eastAsia="en-US"/>
        </w:rPr>
      </w:pPr>
    </w:p>
    <w:p w:rsidR="00773E2C" w:rsidRDefault="001D7E77">
      <w:pPr>
        <w:keepNext/>
        <w:tabs>
          <w:tab w:val="left" w:pos="540"/>
        </w:tabs>
        <w:ind w:firstLine="567"/>
        <w:jc w:val="both"/>
        <w:outlineLvl w:val="1"/>
        <w:rPr>
          <w:b/>
          <w:bCs/>
          <w:color w:val="000000"/>
          <w:sz w:val="22"/>
          <w:szCs w:val="22"/>
        </w:rPr>
      </w:pPr>
      <w:bookmarkStart w:id="41" w:name="_Toc229052208"/>
      <w:r w:rsidRPr="001D7E77">
        <w:rPr>
          <w:b/>
          <w:bCs/>
          <w:color w:val="000000"/>
          <w:sz w:val="22"/>
          <w:szCs w:val="22"/>
        </w:rPr>
        <w:t>8</w:t>
      </w:r>
      <w:r w:rsidR="00805665">
        <w:rPr>
          <w:b/>
          <w:bCs/>
          <w:color w:val="000000"/>
          <w:sz w:val="22"/>
          <w:szCs w:val="22"/>
        </w:rPr>
        <w:t>. Консолидированная финансовая отчетность ПАО «БАНК УРАЛСИБ» за 2025 год</w:t>
      </w:r>
      <w:bookmarkEnd w:id="41"/>
    </w:p>
    <w:p w:rsidR="00773E2C" w:rsidRDefault="00773E2C">
      <w:pPr>
        <w:ind w:firstLine="567"/>
        <w:jc w:val="both"/>
        <w:rPr>
          <w:color w:val="000000" w:themeColor="text1"/>
          <w:sz w:val="22"/>
          <w:szCs w:val="22"/>
        </w:rPr>
      </w:pPr>
    </w:p>
    <w:bookmarkEnd w:id="0"/>
    <w:bookmarkEnd w:id="1"/>
    <w:bookmarkEnd w:id="2"/>
    <w:bookmarkEnd w:id="3"/>
    <w:bookmarkEnd w:id="4"/>
    <w:bookmarkEnd w:id="5"/>
    <w:p w:rsidR="00773E2C" w:rsidRDefault="00805665">
      <w:pPr>
        <w:ind w:firstLine="567"/>
        <w:jc w:val="both"/>
        <w:rPr>
          <w:color w:val="000000" w:themeColor="text1"/>
          <w:sz w:val="22"/>
          <w:szCs w:val="22"/>
        </w:rPr>
      </w:pPr>
      <w:r>
        <w:rPr>
          <w:color w:val="000000" w:themeColor="text1"/>
          <w:sz w:val="22"/>
          <w:szCs w:val="22"/>
        </w:rPr>
        <w:t xml:space="preserve">Консолидированная финансовая отчетность ПАО «БАНК УРАЛСИБ» за 2025 год, </w:t>
      </w:r>
      <w:r w:rsidRPr="00AC4674">
        <w:rPr>
          <w:color w:val="000000" w:themeColor="text1"/>
          <w:sz w:val="22"/>
          <w:szCs w:val="22"/>
        </w:rPr>
        <w:t>составленная по стандартам МСФО,</w:t>
      </w:r>
      <w:r>
        <w:rPr>
          <w:color w:val="000000" w:themeColor="text1"/>
          <w:sz w:val="22"/>
          <w:szCs w:val="22"/>
        </w:rPr>
        <w:t xml:space="preserve"> вместе с аудиторским заключением, </w:t>
      </w:r>
      <w:r>
        <w:rPr>
          <w:color w:val="000000"/>
          <w:sz w:val="22"/>
          <w:szCs w:val="22"/>
        </w:rPr>
        <w:t xml:space="preserve">размещена </w:t>
      </w:r>
      <w:r>
        <w:rPr>
          <w:color w:val="000000" w:themeColor="text1"/>
          <w:sz w:val="22"/>
          <w:szCs w:val="22"/>
        </w:rPr>
        <w:t xml:space="preserve">на официальном сайте Банка в информационно-телекоммуникационной сети «Интернет» по адресу: </w:t>
      </w:r>
      <w:hyperlink r:id="rId12" w:history="1">
        <w:r>
          <w:rPr>
            <w:color w:val="000000" w:themeColor="text1"/>
            <w:sz w:val="22"/>
            <w:szCs w:val="22"/>
          </w:rPr>
          <w:t>https://uralsib.ru/o-banke/documenty-i-otchetnost/otchetnost-po-msfo</w:t>
        </w:r>
      </w:hyperlink>
      <w:r>
        <w:rPr>
          <w:color w:val="000000" w:themeColor="text1"/>
          <w:sz w:val="22"/>
          <w:szCs w:val="22"/>
        </w:rPr>
        <w:t xml:space="preserve"> и на странице Банка на сайте аккредитованного агентства «Интерфакс-Центр раскрытия корпоративной информации» в информационно-телекоммуникационной сети «Интернет» по адресу: </w:t>
      </w:r>
      <w:hyperlink r:id="rId13" w:history="1">
        <w:r>
          <w:rPr>
            <w:color w:val="000000" w:themeColor="text1"/>
            <w:sz w:val="22"/>
            <w:szCs w:val="22"/>
          </w:rPr>
          <w:t>http://www.e-disclosure.ru/portal/company.aspx?id=156</w:t>
        </w:r>
      </w:hyperlink>
      <w:r>
        <w:rPr>
          <w:color w:val="000000" w:themeColor="text1"/>
          <w:sz w:val="22"/>
          <w:szCs w:val="22"/>
        </w:rPr>
        <w:t>.</w:t>
      </w:r>
    </w:p>
    <w:p w:rsidR="00773E2C" w:rsidRDefault="00773E2C">
      <w:pPr>
        <w:ind w:firstLine="567"/>
        <w:jc w:val="both"/>
        <w:rPr>
          <w:color w:val="000000" w:themeColor="text1"/>
          <w:sz w:val="22"/>
          <w:szCs w:val="22"/>
        </w:rPr>
      </w:pPr>
    </w:p>
    <w:p w:rsidR="00773E2C" w:rsidRDefault="00773E2C">
      <w:pPr>
        <w:ind w:firstLine="539"/>
        <w:jc w:val="both"/>
        <w:rPr>
          <w:sz w:val="20"/>
          <w:szCs w:val="20"/>
        </w:rPr>
      </w:pPr>
    </w:p>
    <w:p w:rsidR="00773E2C" w:rsidRDefault="00773E2C">
      <w:pPr>
        <w:shd w:val="clear" w:color="auto" w:fill="FFFF00"/>
        <w:ind w:firstLine="539"/>
        <w:jc w:val="both"/>
        <w:rPr>
          <w:sz w:val="20"/>
          <w:szCs w:val="20"/>
        </w:rPr>
        <w:sectPr w:rsidR="00773E2C">
          <w:footerReference w:type="even" r:id="rId14"/>
          <w:footerReference w:type="default" r:id="rId15"/>
          <w:footerReference w:type="first" r:id="rId16"/>
          <w:pgSz w:w="11907" w:h="16840"/>
          <w:pgMar w:top="1077" w:right="992" w:bottom="902" w:left="1304" w:header="720" w:footer="720" w:gutter="0"/>
          <w:cols w:space="720"/>
          <w:titlePg/>
        </w:sectPr>
      </w:pPr>
    </w:p>
    <w:p w:rsidR="00773E2C" w:rsidRDefault="00805665">
      <w:pPr>
        <w:keepNext/>
        <w:ind w:firstLine="567"/>
        <w:jc w:val="right"/>
        <w:outlineLvl w:val="1"/>
        <w:rPr>
          <w:b/>
          <w:bCs/>
          <w:sz w:val="22"/>
          <w:szCs w:val="22"/>
        </w:rPr>
      </w:pPr>
      <w:bookmarkStart w:id="42" w:name="_Toc229052209"/>
      <w:r>
        <w:rPr>
          <w:b/>
          <w:bCs/>
          <w:sz w:val="22"/>
          <w:szCs w:val="22"/>
        </w:rPr>
        <w:lastRenderedPageBreak/>
        <w:t>Приложение 1</w:t>
      </w:r>
      <w:bookmarkEnd w:id="42"/>
    </w:p>
    <w:p w:rsidR="00773E2C" w:rsidRDefault="00805665">
      <w:pPr>
        <w:pStyle w:val="afffc"/>
        <w:jc w:val="right"/>
        <w:rPr>
          <w:rFonts w:ascii="Times New Roman" w:hAnsi="Times New Roman"/>
        </w:rPr>
      </w:pPr>
      <w:r>
        <w:rPr>
          <w:rFonts w:ascii="Times New Roman" w:hAnsi="Times New Roman"/>
        </w:rPr>
        <w:t>к Годовому отчету ПАО «БАНК УРАЛСИБ» за 2025 год</w:t>
      </w:r>
    </w:p>
    <w:p w:rsidR="00773E2C" w:rsidRDefault="00773E2C">
      <w:pPr>
        <w:pStyle w:val="afffc"/>
        <w:jc w:val="center"/>
        <w:rPr>
          <w:rFonts w:ascii="Times New Roman" w:hAnsi="Times New Roman"/>
        </w:rPr>
      </w:pPr>
    </w:p>
    <w:p w:rsidR="00773E2C" w:rsidRDefault="00805665">
      <w:pPr>
        <w:ind w:firstLine="567"/>
        <w:jc w:val="center"/>
        <w:rPr>
          <w:b/>
          <w:color w:val="000000" w:themeColor="text1"/>
          <w:sz w:val="22"/>
          <w:szCs w:val="22"/>
        </w:rPr>
      </w:pPr>
      <w:r>
        <w:rPr>
          <w:b/>
          <w:color w:val="000000" w:themeColor="text1"/>
          <w:sz w:val="22"/>
          <w:szCs w:val="22"/>
        </w:rPr>
        <w:t>Отчет о соблюдении принципов и рекомендаций Кодекса корпоративного управления</w:t>
      </w:r>
    </w:p>
    <w:p w:rsidR="00773E2C" w:rsidRDefault="00773E2C">
      <w:pPr>
        <w:pStyle w:val="afffc"/>
        <w:jc w:val="center"/>
        <w:rPr>
          <w:rFonts w:ascii="Times New Roman" w:hAnsi="Times New Roman"/>
        </w:rPr>
      </w:pPr>
    </w:p>
    <w:p w:rsidR="00773E2C" w:rsidRPr="002A2ED1" w:rsidRDefault="00805665">
      <w:pPr>
        <w:ind w:firstLine="567"/>
        <w:jc w:val="both"/>
        <w:rPr>
          <w:color w:val="000000" w:themeColor="text1"/>
          <w:sz w:val="22"/>
          <w:szCs w:val="22"/>
        </w:rPr>
      </w:pPr>
      <w:r>
        <w:rPr>
          <w:color w:val="000000" w:themeColor="text1"/>
          <w:sz w:val="22"/>
          <w:szCs w:val="22"/>
        </w:rPr>
        <w:t xml:space="preserve">Настоящий Отчет о соблюдении принципов и рекомендаций Кодекса корпоративного управления был рассмотрен Наблюдательным советом ПАО «БАНК УРАЛСИБ» </w:t>
      </w:r>
      <w:r w:rsidRPr="00F976FA">
        <w:rPr>
          <w:color w:val="000000" w:themeColor="text1"/>
          <w:sz w:val="22"/>
          <w:szCs w:val="22"/>
        </w:rPr>
        <w:t xml:space="preserve">на заседании </w:t>
      </w:r>
      <w:r w:rsidR="002A2ED1" w:rsidRPr="00F976FA">
        <w:rPr>
          <w:color w:val="000000" w:themeColor="text1"/>
          <w:sz w:val="22"/>
          <w:szCs w:val="22"/>
        </w:rPr>
        <w:t>__</w:t>
      </w:r>
      <w:r w:rsidRPr="00F976FA">
        <w:rPr>
          <w:color w:val="000000" w:themeColor="text1"/>
          <w:sz w:val="22"/>
          <w:szCs w:val="22"/>
        </w:rPr>
        <w:t xml:space="preserve"> мая 2026 года, протокол № </w:t>
      </w:r>
      <w:r w:rsidR="002A2ED1" w:rsidRPr="00F976FA">
        <w:rPr>
          <w:color w:val="000000" w:themeColor="text1"/>
          <w:sz w:val="22"/>
          <w:szCs w:val="22"/>
        </w:rPr>
        <w:t>__</w:t>
      </w:r>
      <w:r w:rsidRPr="00F976FA">
        <w:rPr>
          <w:color w:val="000000" w:themeColor="text1"/>
          <w:sz w:val="22"/>
          <w:szCs w:val="22"/>
        </w:rPr>
        <w:t xml:space="preserve"> от </w:t>
      </w:r>
      <w:r w:rsidR="002A2ED1" w:rsidRPr="00F976FA">
        <w:rPr>
          <w:color w:val="000000" w:themeColor="text1"/>
          <w:sz w:val="22"/>
          <w:szCs w:val="22"/>
        </w:rPr>
        <w:t>__</w:t>
      </w:r>
      <w:r w:rsidRPr="00F976FA">
        <w:rPr>
          <w:color w:val="000000" w:themeColor="text1"/>
          <w:sz w:val="22"/>
          <w:szCs w:val="22"/>
        </w:rPr>
        <w:t xml:space="preserve"> мая 2026 года.</w:t>
      </w:r>
    </w:p>
    <w:p w:rsidR="00773E2C" w:rsidRDefault="00805665">
      <w:pPr>
        <w:ind w:firstLine="567"/>
        <w:jc w:val="both"/>
        <w:rPr>
          <w:color w:val="000000" w:themeColor="text1"/>
          <w:sz w:val="22"/>
          <w:szCs w:val="22"/>
        </w:rPr>
      </w:pPr>
      <w:r>
        <w:rPr>
          <w:color w:val="000000" w:themeColor="text1"/>
          <w:sz w:val="22"/>
          <w:szCs w:val="22"/>
        </w:rPr>
        <w:t>Наблюдательный совет подтверждает, что приведенные в настоящем Отчете данные содержат полную и достоверную информацию о соблюдении ПАО «БАНК УРАЛСИБ» принципов и рекомендаций Кодекса корпоративного управления за 2025 год.</w:t>
      </w:r>
    </w:p>
    <w:p w:rsidR="00773E2C" w:rsidRDefault="00773E2C">
      <w:pPr>
        <w:ind w:firstLine="567"/>
        <w:jc w:val="both"/>
        <w:rPr>
          <w:color w:val="000000"/>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1"/>
        <w:gridCol w:w="2694"/>
        <w:gridCol w:w="4110"/>
        <w:gridCol w:w="1701"/>
        <w:gridCol w:w="5671"/>
      </w:tblGrid>
      <w:tr w:rsidR="00773E2C">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773E2C" w:rsidRDefault="00805665">
            <w:pPr>
              <w:widowControl w:val="0"/>
              <w:autoSpaceDE w:val="0"/>
              <w:autoSpaceDN w:val="0"/>
              <w:adjustRightInd w:val="0"/>
              <w:jc w:val="center"/>
              <w:rPr>
                <w:b/>
                <w:sz w:val="20"/>
                <w:szCs w:val="20"/>
              </w:rPr>
            </w:pPr>
            <w:r>
              <w:rPr>
                <w:b/>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773E2C" w:rsidRDefault="00805665">
            <w:pPr>
              <w:widowControl w:val="0"/>
              <w:autoSpaceDE w:val="0"/>
              <w:autoSpaceDN w:val="0"/>
              <w:adjustRightInd w:val="0"/>
              <w:jc w:val="center"/>
              <w:rPr>
                <w:b/>
                <w:sz w:val="20"/>
                <w:szCs w:val="20"/>
              </w:rPr>
            </w:pPr>
            <w:r>
              <w:rPr>
                <w:b/>
                <w:sz w:val="20"/>
                <w:szCs w:val="20"/>
              </w:rPr>
              <w:t>Принципы корпоративного управления</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773E2C" w:rsidRDefault="00805665">
            <w:pPr>
              <w:widowControl w:val="0"/>
              <w:autoSpaceDE w:val="0"/>
              <w:autoSpaceDN w:val="0"/>
              <w:adjustRightInd w:val="0"/>
              <w:jc w:val="center"/>
              <w:rPr>
                <w:b/>
                <w:sz w:val="20"/>
                <w:szCs w:val="20"/>
              </w:rPr>
            </w:pPr>
            <w:r>
              <w:rPr>
                <w:b/>
                <w:sz w:val="20"/>
                <w:szCs w:val="20"/>
              </w:rPr>
              <w:t>Критерии оценки соблюдения принципа корпоративного управления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73E2C" w:rsidRDefault="00805665">
            <w:pPr>
              <w:widowControl w:val="0"/>
              <w:autoSpaceDE w:val="0"/>
              <w:autoSpaceDN w:val="0"/>
              <w:adjustRightInd w:val="0"/>
              <w:jc w:val="center"/>
              <w:rPr>
                <w:b/>
                <w:sz w:val="20"/>
                <w:szCs w:val="20"/>
              </w:rPr>
            </w:pPr>
            <w:r>
              <w:rPr>
                <w:b/>
                <w:sz w:val="20"/>
                <w:szCs w:val="20"/>
                <w:lang w:eastAsia="en-US"/>
              </w:rPr>
              <w:t>Статус</w:t>
            </w:r>
            <w:r>
              <w:rPr>
                <w:b/>
                <w:sz w:val="20"/>
                <w:szCs w:val="20"/>
                <w:vertAlign w:val="superscript"/>
                <w:lang w:eastAsia="en-US"/>
              </w:rPr>
              <w:footnoteReference w:id="2"/>
            </w:r>
            <w:r>
              <w:rPr>
                <w:b/>
                <w:sz w:val="20"/>
                <w:szCs w:val="20"/>
                <w:lang w:eastAsia="en-US"/>
              </w:rPr>
              <w:t xml:space="preserve"> </w:t>
            </w:r>
            <w:r>
              <w:rPr>
                <w:b/>
                <w:sz w:val="20"/>
                <w:szCs w:val="20"/>
              </w:rPr>
              <w:t>соответствия принципу корпоративного управления</w:t>
            </w:r>
          </w:p>
        </w:tc>
        <w:tc>
          <w:tcPr>
            <w:tcW w:w="5671" w:type="dxa"/>
            <w:tcBorders>
              <w:top w:val="single" w:sz="4" w:space="0" w:color="auto"/>
              <w:left w:val="single" w:sz="4" w:space="0" w:color="auto"/>
              <w:bottom w:val="single" w:sz="4" w:space="0" w:color="auto"/>
              <w:right w:val="single" w:sz="4" w:space="0" w:color="auto"/>
            </w:tcBorders>
            <w:shd w:val="clear" w:color="auto" w:fill="auto"/>
            <w:vAlign w:val="center"/>
          </w:tcPr>
          <w:p w:rsidR="00773E2C" w:rsidRDefault="00805665">
            <w:pPr>
              <w:widowControl w:val="0"/>
              <w:autoSpaceDE w:val="0"/>
              <w:autoSpaceDN w:val="0"/>
              <w:adjustRightInd w:val="0"/>
              <w:jc w:val="center"/>
              <w:rPr>
                <w:b/>
                <w:sz w:val="20"/>
                <w:szCs w:val="20"/>
              </w:rPr>
            </w:pPr>
            <w:r>
              <w:rPr>
                <w:b/>
                <w:sz w:val="20"/>
                <w:szCs w:val="20"/>
              </w:rPr>
              <w:t xml:space="preserve">Объяснения </w:t>
            </w:r>
            <w:r>
              <w:rPr>
                <w:b/>
                <w:sz w:val="20"/>
                <w:szCs w:val="20"/>
                <w:vertAlign w:val="superscript"/>
                <w:lang w:eastAsia="en-US"/>
              </w:rPr>
              <w:footnoteReference w:id="3"/>
            </w:r>
            <w:r>
              <w:rPr>
                <w:b/>
                <w:sz w:val="20"/>
                <w:szCs w:val="20"/>
              </w:rPr>
              <w:t xml:space="preserve"> отклонения от критериев оценки соблюдения принципа корпоративного управления</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center"/>
              <w:rPr>
                <w:sz w:val="20"/>
                <w:szCs w:val="20"/>
              </w:rPr>
            </w:pPr>
            <w:r>
              <w:rPr>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center"/>
              <w:rPr>
                <w:sz w:val="20"/>
                <w:szCs w:val="20"/>
              </w:rPr>
            </w:pPr>
            <w:r>
              <w:rPr>
                <w:sz w:val="20"/>
                <w:szCs w:val="20"/>
              </w:rPr>
              <w:t>2</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center"/>
              <w:rPr>
                <w:sz w:val="20"/>
                <w:szCs w:val="20"/>
              </w:rPr>
            </w:pPr>
            <w:r>
              <w:rPr>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center"/>
              <w:rPr>
                <w:sz w:val="20"/>
                <w:szCs w:val="20"/>
              </w:rPr>
            </w:pPr>
            <w:r>
              <w:rPr>
                <w:sz w:val="20"/>
                <w:szCs w:val="20"/>
              </w:rPr>
              <w:t>4</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center"/>
              <w:rPr>
                <w:sz w:val="20"/>
                <w:szCs w:val="20"/>
              </w:rPr>
            </w:pPr>
            <w:r>
              <w:rPr>
                <w:sz w:val="20"/>
                <w:szCs w:val="20"/>
              </w:rPr>
              <w:t>5</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1.1</w:t>
            </w:r>
          </w:p>
        </w:tc>
        <w:tc>
          <w:tcPr>
            <w:tcW w:w="14176" w:type="dxa"/>
            <w:gridSpan w:val="4"/>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Общество должно обеспечивать равное и справедливое отношение ко всем акционерам при реализации ими права на участие в управлении обществом</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1.1.1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Общество создает для акционеров максимально благоприятные условия для участия в общем собрании, условия для выработки обоснованной позиции по вопросам повестки дня общего собрания, координации своих действий, а также возможность высказать свое мнение по рассматриваемым вопросам</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Общество предоставляет доступный способ коммуникации с обществом, такой как горячая линия, электронная почта или форум в сети Интернет, позволяющий акционерам высказать свое мнение и направить вопросы в отношении повестки дня в процессе подготовки к проведению общего собрания.</w:t>
            </w:r>
          </w:p>
          <w:p w:rsidR="00773E2C" w:rsidRDefault="00805665">
            <w:pPr>
              <w:widowControl w:val="0"/>
              <w:autoSpaceDE w:val="0"/>
              <w:autoSpaceDN w:val="0"/>
              <w:adjustRightInd w:val="0"/>
              <w:jc w:val="both"/>
              <w:rPr>
                <w:sz w:val="20"/>
                <w:szCs w:val="20"/>
              </w:rPr>
            </w:pPr>
            <w:r>
              <w:rPr>
                <w:sz w:val="20"/>
                <w:szCs w:val="20"/>
              </w:rPr>
              <w:t>Указанные способы коммуникации были организованы обществом и предоставлены акционерам в ходе подготовки к проведению каждого общего собрания, прошедшего в отчетный период</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1.1.2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 xml:space="preserve">Порядок сообщения о проведении общего собрания </w:t>
            </w:r>
            <w:r>
              <w:rPr>
                <w:sz w:val="20"/>
                <w:szCs w:val="20"/>
              </w:rPr>
              <w:lastRenderedPageBreak/>
              <w:t>и предоставления материалов к общему собранию дает акционерам возможность надлежащим образом подготовиться к участию в нем</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lastRenderedPageBreak/>
              <w:t xml:space="preserve">1. В отчетном периоде сообщение о проведении общего собрания акционеров </w:t>
            </w:r>
            <w:r>
              <w:rPr>
                <w:sz w:val="20"/>
                <w:szCs w:val="20"/>
              </w:rPr>
              <w:lastRenderedPageBreak/>
              <w:t>размещено (опубликовано) на сайте общества в сети Интернет не позднее чем за 30 дней до даты проведения общего собрания, если законодательством не предусмотрен больший срок.</w:t>
            </w:r>
          </w:p>
          <w:p w:rsidR="00773E2C" w:rsidRDefault="00805665">
            <w:pPr>
              <w:widowControl w:val="0"/>
              <w:autoSpaceDE w:val="0"/>
              <w:autoSpaceDN w:val="0"/>
              <w:adjustRightInd w:val="0"/>
              <w:jc w:val="both"/>
              <w:rPr>
                <w:sz w:val="20"/>
                <w:szCs w:val="20"/>
              </w:rPr>
            </w:pPr>
            <w:r>
              <w:rPr>
                <w:sz w:val="20"/>
                <w:szCs w:val="20"/>
              </w:rPr>
              <w:t>2. В сообщении о проведении собрания указаны документы, необходимые для допуска в помещение.</w:t>
            </w:r>
          </w:p>
          <w:p w:rsidR="00773E2C" w:rsidRDefault="00805665">
            <w:pPr>
              <w:widowControl w:val="0"/>
              <w:autoSpaceDE w:val="0"/>
              <w:autoSpaceDN w:val="0"/>
              <w:adjustRightInd w:val="0"/>
              <w:jc w:val="both"/>
              <w:rPr>
                <w:sz w:val="20"/>
                <w:szCs w:val="20"/>
              </w:rPr>
            </w:pPr>
            <w:r>
              <w:rPr>
                <w:sz w:val="20"/>
                <w:szCs w:val="20"/>
              </w:rPr>
              <w:t>3. Акционерам был обеспечен доступ к информации о том, кем предложены вопросы повестки дня и кем выдвинуты кандидаты в совет директоров и ревизионную комиссию общества (в случае, если ее формирование предусмотрено уставом общества)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highlight w:val="green"/>
              </w:rPr>
            </w:pPr>
            <w:r>
              <w:rPr>
                <w:sz w:val="20"/>
                <w:szCs w:val="20"/>
              </w:rPr>
              <w:lastRenderedPageBreak/>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jc w:val="both"/>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1.1.3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В ходе подготовки и проведения общего собрания акционеры имели возможность беспрепятственно и своевременно получать информацию о собрании и материалы к нему, задавать вопросы исполнительным органам и членам совета директоров общества, общаться друг с другом</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В отчетном периоде акционерам была предоставлена возможность задать вопросы членам исполнительных органов и членам совета директоров общества в период подготовки к собранию и в ходе проведения общего собрания.</w:t>
            </w:r>
          </w:p>
          <w:p w:rsidR="00773E2C" w:rsidRDefault="00805665">
            <w:pPr>
              <w:widowControl w:val="0"/>
              <w:autoSpaceDE w:val="0"/>
              <w:autoSpaceDN w:val="0"/>
              <w:adjustRightInd w:val="0"/>
              <w:jc w:val="both"/>
              <w:rPr>
                <w:sz w:val="20"/>
                <w:szCs w:val="20"/>
              </w:rPr>
            </w:pPr>
            <w:r>
              <w:rPr>
                <w:sz w:val="20"/>
                <w:szCs w:val="20"/>
              </w:rPr>
              <w:t>2. Позиция совета директоров (включая внесенные в протокол особые мнения (при наличии) по каждому вопросу повестки общих собраний, проведенных в отчетный период, была включена в состав материалов к общему собранию.</w:t>
            </w:r>
          </w:p>
          <w:p w:rsidR="00773E2C" w:rsidRDefault="00805665">
            <w:pPr>
              <w:widowControl w:val="0"/>
              <w:autoSpaceDE w:val="0"/>
              <w:autoSpaceDN w:val="0"/>
              <w:adjustRightInd w:val="0"/>
              <w:jc w:val="both"/>
              <w:rPr>
                <w:sz w:val="20"/>
                <w:szCs w:val="20"/>
              </w:rPr>
            </w:pPr>
            <w:r>
              <w:rPr>
                <w:sz w:val="20"/>
                <w:szCs w:val="20"/>
              </w:rPr>
              <w:t>3. Общество предоставляло акционерам, имеющим на это право, доступ к списку лиц, имеющих право на участие в общем собрании, начиная с даты получения его обществом во всех случаях проведения общих собраний в отчетном периоде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1.1.4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 xml:space="preserve">Реализация права акционера требовать созыва общего собрания, выдвигать кандидатов в органы управления и вносить предложения для включения в повестку дня общего собрания не была сопряжена с неоправданными </w:t>
            </w:r>
            <w:r>
              <w:rPr>
                <w:sz w:val="20"/>
                <w:szCs w:val="20"/>
              </w:rPr>
              <w:lastRenderedPageBreak/>
              <w:t>сложностями</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lastRenderedPageBreak/>
              <w:t>1. Уставом общества установлен срок внесения акционерами предложений для включения в повестку дня годового общего собрания, составляющий не менее 60 дней после окончания соответствующего календарного года.</w:t>
            </w:r>
          </w:p>
          <w:p w:rsidR="00773E2C" w:rsidRDefault="00805665">
            <w:pPr>
              <w:widowControl w:val="0"/>
              <w:autoSpaceDE w:val="0"/>
              <w:autoSpaceDN w:val="0"/>
              <w:adjustRightInd w:val="0"/>
              <w:jc w:val="both"/>
              <w:rPr>
                <w:sz w:val="20"/>
                <w:szCs w:val="20"/>
              </w:rPr>
            </w:pPr>
            <w:r>
              <w:rPr>
                <w:sz w:val="20"/>
                <w:szCs w:val="20"/>
              </w:rPr>
              <w:t xml:space="preserve">2. В отчетном периоде общество не отказывало в принятии предложений в повестку дня или кандидатов в органы </w:t>
            </w:r>
            <w:r>
              <w:rPr>
                <w:sz w:val="20"/>
                <w:szCs w:val="20"/>
              </w:rPr>
              <w:lastRenderedPageBreak/>
              <w:t>общества по причине опечаток и иных несущественных недостатков в предложении акционера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lastRenderedPageBreak/>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1.1.5</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Каждый акционер имел возможность беспрепятственно реализовать право голоса самым простым и удобным для него способом</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Уставом общества предусмотрена возможность заполнения электронной формы бюллетеня на сайте в сети Интернет, адрес которого указан в сообщении о проведении общего собрания акционеров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jc w:val="both"/>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1.1.6</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Установленный обществом порядок ведения общего собрания обеспечивает равную возможность всем лицам, присутствующим на собрании, высказать свое мнение и задать интересующие их вопросы</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При проведении в отчетном периоде общих собраний акционеров в форме собрания (совместного присутствия акционеров) предусматривалось достаточное время для докладов по вопросам повестки дня и время для обсуждения этих вопросов, акционерам была предоставлена возможность высказать свое мнение и задать интересующие их вопросы по повестке дня.</w:t>
            </w:r>
          </w:p>
          <w:p w:rsidR="00773E2C" w:rsidRDefault="00805665">
            <w:pPr>
              <w:widowControl w:val="0"/>
              <w:autoSpaceDE w:val="0"/>
              <w:autoSpaceDN w:val="0"/>
              <w:adjustRightInd w:val="0"/>
              <w:jc w:val="both"/>
              <w:rPr>
                <w:sz w:val="20"/>
                <w:szCs w:val="20"/>
              </w:rPr>
            </w:pPr>
            <w:r>
              <w:rPr>
                <w:sz w:val="20"/>
                <w:szCs w:val="20"/>
              </w:rPr>
              <w:t>2. Обществом были приглашены кандидаты в органы управления и контроля общества и предприняты все необходимые меры для обеспечения их участия в общем собрании акционеров, на котором их кандидатуры были поставлены на голосование. Присутствовавшие на общем собрании акционеров кандидаты в органы управления и контроля общества были доступны для ответов на вопросы акционеров.</w:t>
            </w:r>
          </w:p>
          <w:p w:rsidR="00773E2C" w:rsidRDefault="00805665">
            <w:pPr>
              <w:widowControl w:val="0"/>
              <w:autoSpaceDE w:val="0"/>
              <w:autoSpaceDN w:val="0"/>
              <w:adjustRightInd w:val="0"/>
              <w:jc w:val="both"/>
              <w:rPr>
                <w:sz w:val="20"/>
                <w:szCs w:val="20"/>
              </w:rPr>
            </w:pPr>
            <w:r>
              <w:rPr>
                <w:sz w:val="20"/>
                <w:szCs w:val="20"/>
              </w:rPr>
              <w:t>3. Единоличный исполнительный орган, лицо, ответственное за ведение бухгалтерского учета, председатель или иные члены комитета совета директоров по аудиту были доступны для ответов на вопросы акционеров на общих собраниях акционеров, проведенных в отчетном периоде.</w:t>
            </w:r>
          </w:p>
          <w:p w:rsidR="00773E2C" w:rsidRDefault="00805665">
            <w:pPr>
              <w:widowControl w:val="0"/>
              <w:autoSpaceDE w:val="0"/>
              <w:autoSpaceDN w:val="0"/>
              <w:adjustRightInd w:val="0"/>
              <w:jc w:val="both"/>
              <w:rPr>
                <w:sz w:val="20"/>
                <w:szCs w:val="20"/>
              </w:rPr>
            </w:pPr>
            <w:r>
              <w:rPr>
                <w:sz w:val="20"/>
                <w:szCs w:val="20"/>
              </w:rPr>
              <w:t xml:space="preserve">4. В отчетном периоде общество использовало телекоммуникационные средства для обеспечения дистанционного доступа акционеров для участия в общих собраниях либо советом директоров было принято обоснованное решение об отсутствии </w:t>
            </w:r>
            <w:r>
              <w:rPr>
                <w:sz w:val="20"/>
                <w:szCs w:val="20"/>
              </w:rPr>
              <w:lastRenderedPageBreak/>
              <w:t>необходимости (возможности) использования таких средств в отчетном периоде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lastRenderedPageBreak/>
              <w:t>частично 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Критерий 2 и 4 в 2025 году не соблюдены.</w:t>
            </w:r>
          </w:p>
          <w:p w:rsidR="00773E2C" w:rsidRDefault="00805665">
            <w:pPr>
              <w:widowControl w:val="0"/>
              <w:autoSpaceDE w:val="0"/>
              <w:autoSpaceDN w:val="0"/>
              <w:adjustRightInd w:val="0"/>
              <w:jc w:val="both"/>
              <w:rPr>
                <w:sz w:val="20"/>
                <w:szCs w:val="20"/>
              </w:rPr>
            </w:pPr>
            <w:r>
              <w:rPr>
                <w:sz w:val="20"/>
                <w:szCs w:val="20"/>
              </w:rPr>
              <w:t>В 2025 году проводилось только годовое заседание Общего собрания акционеров Банка (дата проведения 17 июня 2025 года), на которое вопрос избрания Наблюдательного совета не выносился, поскольку на внеочередном Общем собрании акционеров Банка, проведенном 09 декабря 2024 года, было принято решение, указанное в ч. 1.2 статьи 7 Федерального закона от 14.07.2022 № 292-ФЗ «О внесении изменений в отдельные законодательные акты Российской Федерации, признании утратившим силу абзаца шестого части первой статьи 7 Закона Российской Федерации «О государственной тайне», приостановлении действия отдельных положений законодательных актов Российской Федерации и об установлении особенностей регулирования корпоративных отношений в 2022 и 2023 годах».</w:t>
            </w:r>
          </w:p>
          <w:p w:rsidR="00773E2C" w:rsidRDefault="00805665">
            <w:pPr>
              <w:widowControl w:val="0"/>
              <w:autoSpaceDE w:val="0"/>
              <w:autoSpaceDN w:val="0"/>
              <w:adjustRightInd w:val="0"/>
              <w:jc w:val="both"/>
              <w:rPr>
                <w:sz w:val="20"/>
                <w:szCs w:val="20"/>
              </w:rPr>
            </w:pPr>
            <w:r>
              <w:rPr>
                <w:sz w:val="20"/>
                <w:szCs w:val="20"/>
              </w:rPr>
              <w:t>Способом принятия решения этим годовым Общим собранием акционеров был определено заседание, голосование на котором совмещенное с заочным голосованием. Дистанционное участие в годовом заседании Общего собрания акционеров Банка в 2025 году не предусматривалось.</w:t>
            </w:r>
          </w:p>
          <w:p w:rsidR="00773E2C" w:rsidRDefault="00805665">
            <w:pPr>
              <w:widowControl w:val="0"/>
              <w:autoSpaceDE w:val="0"/>
              <w:autoSpaceDN w:val="0"/>
              <w:adjustRightInd w:val="0"/>
              <w:jc w:val="both"/>
              <w:rPr>
                <w:sz w:val="20"/>
                <w:szCs w:val="20"/>
              </w:rPr>
            </w:pPr>
            <w:r>
              <w:rPr>
                <w:sz w:val="20"/>
                <w:szCs w:val="20"/>
              </w:rPr>
              <w:t>В дальнейшем при обеспечении технической возможности проведения заседаний Общего собрания акционеров предполагается, в том числе возможность дистанционного участия акционеров Банка в заседании Общего собрания акционеров с применением телекоммуникационных средств</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1.2</w:t>
            </w:r>
          </w:p>
        </w:tc>
        <w:tc>
          <w:tcPr>
            <w:tcW w:w="14176" w:type="dxa"/>
            <w:gridSpan w:val="4"/>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Акционерам предоставлена равная и справедливая возможность участвовать в прибыли общества посредством получения дивидендов</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1.2.1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Общество разработало и внедрило прозрачный и понятный механизм определения размера дивидендов и их выплаты</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Положение о дивидендной политике общества утверждено советом директоров и раскрыто на сайте общества в сети Интернет.</w:t>
            </w:r>
          </w:p>
          <w:p w:rsidR="00773E2C" w:rsidRDefault="00805665">
            <w:pPr>
              <w:widowControl w:val="0"/>
              <w:autoSpaceDE w:val="0"/>
              <w:autoSpaceDN w:val="0"/>
              <w:adjustRightInd w:val="0"/>
              <w:jc w:val="both"/>
              <w:rPr>
                <w:sz w:val="20"/>
                <w:szCs w:val="20"/>
              </w:rPr>
            </w:pPr>
            <w:r>
              <w:rPr>
                <w:sz w:val="20"/>
                <w:szCs w:val="20"/>
              </w:rPr>
              <w:t>2. Если дивидендная политика общества, составляющего консолидированную финансовую отчетность, использует показатели отчетности общества для определения размера дивидендов, то соответствующие положения дивидендной политики учитывают консолидированные показатели финансовой отчетности.</w:t>
            </w:r>
          </w:p>
          <w:p w:rsidR="00773E2C" w:rsidRDefault="00805665">
            <w:pPr>
              <w:widowControl w:val="0"/>
              <w:autoSpaceDE w:val="0"/>
              <w:autoSpaceDN w:val="0"/>
              <w:adjustRightInd w:val="0"/>
              <w:jc w:val="both"/>
              <w:rPr>
                <w:sz w:val="20"/>
                <w:szCs w:val="20"/>
              </w:rPr>
            </w:pPr>
            <w:r>
              <w:rPr>
                <w:sz w:val="20"/>
                <w:szCs w:val="20"/>
              </w:rPr>
              <w:t>3. Обоснование предлагаемого распределения чистой прибыли, в том числе на выплату дивидендов и собственные нужды общества, и оценка его соответствия принятой в обществе дивидендной политике, с пояснениями и экономическим обоснованием потребности в направлении определенной части чистой прибыли на собственные нужды в отчетном периоде были включены в состав материалов к общему собранию акционеров, в повестку дня которого включен вопрос о распределении прибыли (в том числе о выплате (объявлении) дивидендов)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частично 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color w:val="000000" w:themeColor="text1"/>
                <w:sz w:val="20"/>
                <w:szCs w:val="20"/>
              </w:rPr>
            </w:pPr>
            <w:r>
              <w:rPr>
                <w:color w:val="000000" w:themeColor="text1"/>
                <w:sz w:val="20"/>
                <w:szCs w:val="20"/>
              </w:rPr>
              <w:t>Критерии 2 в не соблюдается.</w:t>
            </w:r>
          </w:p>
          <w:p w:rsidR="00773E2C" w:rsidRDefault="00805665">
            <w:pPr>
              <w:widowControl w:val="0"/>
              <w:autoSpaceDE w:val="0"/>
              <w:autoSpaceDN w:val="0"/>
              <w:adjustRightInd w:val="0"/>
              <w:jc w:val="both"/>
              <w:rPr>
                <w:color w:val="000000" w:themeColor="text1"/>
                <w:sz w:val="20"/>
                <w:szCs w:val="20"/>
              </w:rPr>
            </w:pPr>
            <w:r>
              <w:rPr>
                <w:color w:val="000000" w:themeColor="text1"/>
                <w:sz w:val="20"/>
                <w:szCs w:val="20"/>
              </w:rPr>
              <w:t>В соответствии положениями Дивидендной политики Публичного акционерного общества «БАНК УРАЛСИБ» (действующей до 01.12.2025 года) и Положения о дивидендной политике Публичного акционерного общества «БАНК УРАЛСИБ» (действующего с 01.12.2025 года) Наблюдательный совет при определении рекомендуемого Общему собранию акционеров размера дивидендов, в том числе учитывает финансовые результаты деятельности Банка (наличие и размер чистой прибыли, определяемой по данным бухгалтерской (финансовой) отчетности Банка, составленной по требованиям законодательства Российской Федерации за соответствующий отчетный период, остающейся в распоряжении Банка после налогообложения), Банк считает обоснованным данный подход, поскольку согласно п. 2 ст. 42 Федерального закона «Об акционерных обществах» источником выплаты дивидендов является прибыль общества после налогообложения (чистая прибыль общества), которая определяется по данным бухгалтерской (финансовой) отчетности общества. Планы по пересмотру данного подхода у Банка отсутствуют</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1.2.2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Общество не принимает решение о выплате дивидендов, если такое решение, формально не нарушая ограничений, установленных законодательством, является экономически необоснованным и может привести к формированию ложных представлений о деятельности общества</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В Положении о дивидендной политике общества помимо ограничений, установленных законодательством, определены финансовые/экономические обстоятельства, при которых обществу не следует принимать решение о выплате дивидендов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color w:val="000000" w:themeColor="text1"/>
                <w:sz w:val="20"/>
                <w:szCs w:val="20"/>
              </w:rPr>
            </w:pPr>
            <w:r>
              <w:rPr>
                <w:color w:val="000000" w:themeColor="text1"/>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jc w:val="both"/>
              <w:rPr>
                <w:strike/>
                <w:color w:val="000000" w:themeColor="text1"/>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lastRenderedPageBreak/>
              <w:t>1.2.3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Общество не допускает ухудшения дивидендных прав существующих акционеров</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В отчетном периоде общество не предпринимало действий, ведущих к ухудшению дивидендных прав существующих акционеров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color w:val="000000" w:themeColor="text1"/>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1.2.4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Общество стремится к исключению использования акционерами иных способов получения прибыли (дохода) за счет общества, помимо дивидендов и ликвидационной стоимости</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В отчетном периоде иные способы получения лицами, контролирующими общество, прибыли (дохода) за счет общества помимо дивидендов (например, с помощью трансфертного ценообразования, необоснованного оказания обществу контролирующим лицом услуг по завышенным ценам, путем замещающих дивиденды внутренних займов контролирующему лицу и (или) его подконтрольным лицам) не использовались</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1.3</w:t>
            </w:r>
          </w:p>
        </w:tc>
        <w:tc>
          <w:tcPr>
            <w:tcW w:w="14176" w:type="dxa"/>
            <w:gridSpan w:val="4"/>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Система и практика корпоративного управления обеспечивают равенство условий для всех акционеров - владельцев акций одной категории (типа), включая миноритарных (мелких) акционеров и иностранных акционеров, и равное отношение к ним со стороны общества</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1.3.1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Общество создало условия для справедливого отношения к каждому акционеру со стороны органов управления и контролирующих лиц общества, в том числе условия, обеспечивающие недопустимость злоупотреблений со стороны крупных акционеров по отношению к миноритарным акционерам</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В течение отчетного периода лица, контролирующие общество, не допускали злоупотреблений правами по отношению к акционерам общества, конфликты между контролирующими лицами общества и акционерами общества отсутствовали, а если таковые были, совет директоров уделил им надлежащее внимание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1.3.2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Общество не предпринимает действий, которые приводят или могут привести к искусственному перераспределению корпоративного контроля</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w:t>
            </w:r>
            <w:proofErr w:type="spellStart"/>
            <w:r>
              <w:rPr>
                <w:sz w:val="20"/>
                <w:szCs w:val="20"/>
              </w:rPr>
              <w:t>Квазиказначейские</w:t>
            </w:r>
            <w:proofErr w:type="spellEnd"/>
            <w:r>
              <w:rPr>
                <w:sz w:val="20"/>
                <w:szCs w:val="20"/>
              </w:rPr>
              <w:t xml:space="preserve"> акции отсутствуют или не участвовали в голосовании в течение отчетного периода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1.4</w:t>
            </w:r>
          </w:p>
        </w:tc>
        <w:tc>
          <w:tcPr>
            <w:tcW w:w="14176" w:type="dxa"/>
            <w:gridSpan w:val="4"/>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Акционерам обеспечены надежные и эффективные способы учета прав на акции, а также возможность свободного и необременительного отчуждения принадлежащих им акций</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lastRenderedPageBreak/>
              <w:t>1.4.1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Акционерам обеспечены надежные и эффективные способы учета прав на акции, а также возможность свободного и необременительного отчуждения принадлежащих им акций</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Используемые регистратором общества технологии и условия оказываемых услуг соответствуют потребностям общества и его акционеров, обеспечивают учет прав на акции и реализацию прав акционеров наиболее эффективным образом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2.1</w:t>
            </w:r>
          </w:p>
        </w:tc>
        <w:tc>
          <w:tcPr>
            <w:tcW w:w="14176" w:type="dxa"/>
            <w:gridSpan w:val="4"/>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Совет директоров осуществляет стратегическое управление обществом, определяет основные принципы и подходы к организации в обществе системы управления рисками и внутреннего контроля, контролирует деятельность исполнительных органов общества, а также реализует иные ключевые функции</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2.1.1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Совет директоров отвечает за принятие решений, связанных с назначением и освобождением от занимаемых должностей исполнительных органов, в том числе в связи с ненадлежащим исполнением ими своих обязанностей. Совет директоров также осуществляет контроль за тем, чтобы исполнительные органы общества действовали в соответствии с утвержденными стратегией развития и основными направлениями деятельности общества</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Совет директоров имеет закрепленные в уставе полномочия по назначению, освобождению от занимаемой должности и определению условий договоров в отношении членов исполнительных органов.</w:t>
            </w:r>
          </w:p>
          <w:p w:rsidR="00773E2C" w:rsidRDefault="00805665">
            <w:pPr>
              <w:widowControl w:val="0"/>
              <w:autoSpaceDE w:val="0"/>
              <w:autoSpaceDN w:val="0"/>
              <w:adjustRightInd w:val="0"/>
              <w:jc w:val="both"/>
              <w:rPr>
                <w:sz w:val="20"/>
                <w:szCs w:val="20"/>
              </w:rPr>
            </w:pPr>
            <w:r>
              <w:rPr>
                <w:sz w:val="20"/>
                <w:szCs w:val="20"/>
              </w:rPr>
              <w:t>2. В отчетном периоде комитет по номинациям (назначениям, кадрам)</w:t>
            </w:r>
            <w:r>
              <w:rPr>
                <w:sz w:val="22"/>
                <w:szCs w:val="22"/>
                <w:vertAlign w:val="superscript"/>
                <w:lang w:eastAsia="en-US"/>
              </w:rPr>
              <w:footnoteReference w:id="4"/>
            </w:r>
            <w:r>
              <w:rPr>
                <w:sz w:val="20"/>
                <w:szCs w:val="20"/>
              </w:rPr>
              <w:t xml:space="preserve"> рассмотрел вопрос о соответствии профессиональной квалификации, навыков и опыта членов исполнительных органов текущим и ожидаемым потребностям общества, продиктованным утвержденной стратегией общества.</w:t>
            </w:r>
          </w:p>
          <w:p w:rsidR="00773E2C" w:rsidRDefault="00805665">
            <w:pPr>
              <w:widowControl w:val="0"/>
              <w:autoSpaceDE w:val="0"/>
              <w:autoSpaceDN w:val="0"/>
              <w:adjustRightInd w:val="0"/>
              <w:jc w:val="both"/>
              <w:rPr>
                <w:sz w:val="20"/>
                <w:szCs w:val="20"/>
              </w:rPr>
            </w:pPr>
            <w:r>
              <w:rPr>
                <w:sz w:val="20"/>
                <w:szCs w:val="20"/>
              </w:rPr>
              <w:t>3. В отчетном периоде советом директоров рассмотрен отчет (отчеты) единоличного исполнительного органа и коллегиального исполнительного органа (при наличии) о выполнении стратегии общества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2.1.2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 xml:space="preserve">Совет директоров устанавливает основные ориентиры деятельности общества на долгосрочную перспективу, оценивает и утверждает ключевые показатели деятельности и основные бизнес-цели общества, оценивает и </w:t>
            </w:r>
            <w:r>
              <w:rPr>
                <w:sz w:val="20"/>
                <w:szCs w:val="20"/>
              </w:rPr>
              <w:lastRenderedPageBreak/>
              <w:t>одобряет стратегию и бизнес-планы по основным видам деятельности общества</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highlight w:val="yellow"/>
              </w:rPr>
            </w:pPr>
            <w:r>
              <w:rPr>
                <w:sz w:val="20"/>
                <w:szCs w:val="20"/>
              </w:rPr>
              <w:lastRenderedPageBreak/>
              <w:t>1. В течение отчетного периода на заседаниях совета директоров были рассмотрены вопросы, связанные с ходом исполнения и актуализации стратегии, утверждением финансово-хозяйственного плана (бюджета) общества, а также рассмотрением критериев и показателей (в том числе промежуточных) реализации стратегии и бизнес-планов общества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2.1.3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Совет директоров определяет принципы и подходы к организации системы управления рисками и внутреннего контроля в обществе</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Принципы и подходы к организации системы управления рисками и внутреннего контроля в обществе определены советом директоров и закреплены во внутренних документах общества, определяющих политику в области управления рисками и внутреннего контроля.</w:t>
            </w:r>
          </w:p>
          <w:p w:rsidR="00773E2C" w:rsidRDefault="00805665">
            <w:pPr>
              <w:widowControl w:val="0"/>
              <w:autoSpaceDE w:val="0"/>
              <w:autoSpaceDN w:val="0"/>
              <w:adjustRightInd w:val="0"/>
              <w:jc w:val="both"/>
              <w:rPr>
                <w:sz w:val="20"/>
                <w:szCs w:val="20"/>
              </w:rPr>
            </w:pPr>
            <w:r>
              <w:rPr>
                <w:sz w:val="20"/>
                <w:szCs w:val="20"/>
              </w:rPr>
              <w:t>2. В отчетном периоде совет директоров утвердил (пересмотрел) приемлемую величину рисков (риск-аппетит) общества либо комитет по аудиту и (или) комитет по рискам (при наличии) рассмотрел целесообразность вынесения на рассмотрение совета директоров вопроса о пересмотре риск-аппетита общества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2.1.4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Совет директоров определяет политику общества по вознаграждению и (или) возмещению расходов (компенсаций) членам совета директоров, исполнительным органам общества и иным ключевым руководящим работникам общества</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В обществе разработана, утверждена советом директоров и внедрена политика (политики) по вознаграждению и возмещению расходов (компенсаций) членов совета директоров, исполнительных органов общества и иных ключевых руководящих работников общества.</w:t>
            </w:r>
          </w:p>
          <w:p w:rsidR="00773E2C" w:rsidRDefault="00805665">
            <w:pPr>
              <w:widowControl w:val="0"/>
              <w:autoSpaceDE w:val="0"/>
              <w:autoSpaceDN w:val="0"/>
              <w:adjustRightInd w:val="0"/>
              <w:jc w:val="both"/>
              <w:rPr>
                <w:sz w:val="20"/>
                <w:szCs w:val="20"/>
              </w:rPr>
            </w:pPr>
            <w:r>
              <w:rPr>
                <w:sz w:val="20"/>
                <w:szCs w:val="20"/>
              </w:rPr>
              <w:t>2. В течение отчетного периода советом директоров были рассмотрены вопросы, связанные с указанной политикой (политиками)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2.1.5</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Совет директоров играет ключевую роль в предупреждении, выявлении и урегулировании внутренних конфликтов между органами общества, акционерами общества и работниками общества</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Совет директоров играет ключевую роль в предупреждении, выявлении и урегулировании внутренних конфликтов.</w:t>
            </w:r>
          </w:p>
          <w:p w:rsidR="00773E2C" w:rsidRDefault="00805665">
            <w:pPr>
              <w:widowControl w:val="0"/>
              <w:autoSpaceDE w:val="0"/>
              <w:autoSpaceDN w:val="0"/>
              <w:adjustRightInd w:val="0"/>
              <w:jc w:val="both"/>
              <w:rPr>
                <w:sz w:val="20"/>
                <w:szCs w:val="20"/>
              </w:rPr>
            </w:pPr>
            <w:r>
              <w:rPr>
                <w:sz w:val="20"/>
                <w:szCs w:val="20"/>
              </w:rPr>
              <w:t>2. Общество создало систему идентификации сделок, связанных с конфликтом интересов, и систему мер, направленных на разрешение таких конфликтов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2.1.6</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 xml:space="preserve">Совет директоров играет ключевую роль в обеспечении </w:t>
            </w:r>
            <w:r>
              <w:rPr>
                <w:sz w:val="20"/>
                <w:szCs w:val="20"/>
              </w:rPr>
              <w:lastRenderedPageBreak/>
              <w:t>прозрачности общества, своевременности и полноты раскрытия обществом информации, необременительного доступа акционеров к документам общества</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lastRenderedPageBreak/>
              <w:t xml:space="preserve">1. Во внутренних документах общества определены лица, ответственные за </w:t>
            </w:r>
            <w:r>
              <w:rPr>
                <w:sz w:val="20"/>
                <w:szCs w:val="20"/>
              </w:rPr>
              <w:lastRenderedPageBreak/>
              <w:t>реализацию информационной политики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lastRenderedPageBreak/>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2.1.7</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Совет директоров осуществляет контроль за практикой корпоративного управления в обществе и играет ключевую роль в существенных корпоративных событиях общества</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В течение отчетного периода совет директоров рассмотрел результаты самооценки и (или) внешней оценки практики корпоративного управления в обществе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2.2</w:t>
            </w:r>
          </w:p>
        </w:tc>
        <w:tc>
          <w:tcPr>
            <w:tcW w:w="14176" w:type="dxa"/>
            <w:gridSpan w:val="4"/>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Совет директоров подотчетен акционерам общества</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2.2.1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Информация о работе совета директоров раскрывается и предоставляется акционерам</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Годовой отчет общества за отчетный период включает в себя информацию о посещаемости заседаний совета директоров и комитетов каждым из членов совета директоров.</w:t>
            </w:r>
          </w:p>
          <w:p w:rsidR="00773E2C" w:rsidRDefault="00805665">
            <w:pPr>
              <w:widowControl w:val="0"/>
              <w:autoSpaceDE w:val="0"/>
              <w:autoSpaceDN w:val="0"/>
              <w:adjustRightInd w:val="0"/>
              <w:jc w:val="both"/>
              <w:rPr>
                <w:sz w:val="20"/>
                <w:szCs w:val="20"/>
              </w:rPr>
            </w:pPr>
            <w:r>
              <w:rPr>
                <w:sz w:val="20"/>
                <w:szCs w:val="20"/>
              </w:rPr>
              <w:t>2. Годовой отчет содержит информацию об основных результатах оценки (самооценки) качества работы совета директоров, проведенной в отчетном периоде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color w:val="0070C0"/>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2.2.2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Председатель совета директоров доступен для общения с акционерами общества</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В обществе существует прозрачная процедура, обеспечивающая акционерам возможность направления председателю совета директоров (и, если применимо, старшему независимому директору) обращений и получения обратной связи по ним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2.3</w:t>
            </w:r>
          </w:p>
        </w:tc>
        <w:tc>
          <w:tcPr>
            <w:tcW w:w="14176" w:type="dxa"/>
            <w:gridSpan w:val="4"/>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Совет директоров является эффективным и профессиональным органом управления общества, способным выносить объективные независимые суждения и принимать решения, отвечающие интересам общества и его акционеров</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2.3.1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 xml:space="preserve">Только лица, имеющие безупречную деловую и личную репутацию и обладающие знаниями, </w:t>
            </w:r>
            <w:r>
              <w:rPr>
                <w:sz w:val="20"/>
                <w:szCs w:val="20"/>
              </w:rPr>
              <w:lastRenderedPageBreak/>
              <w:t>навыками и опытом, необходимыми для принятия решений, относящихся к компетенции совета директоров, и требующимися для эффективного осуществления его функций, избираются членами совета директоров</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lastRenderedPageBreak/>
              <w:t xml:space="preserve">1. В отчетном периоде советом директоров (или его комитетом по номинациям) была проведена оценка кандидатов в совет директоров с точки зрения наличия у них </w:t>
            </w:r>
            <w:r>
              <w:rPr>
                <w:sz w:val="20"/>
                <w:szCs w:val="20"/>
              </w:rPr>
              <w:lastRenderedPageBreak/>
              <w:t>необходимого опыта, знаний, деловой репутации, отсутствия конфликта интересов и так далее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lastRenderedPageBreak/>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jc w:val="both"/>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2.3.2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Члены совета директоров общества избираются посредством прозрачной процедуры, позволяющей акционерам получить информацию о кандидатах, достаточную для формирования представления об их личных и профессиональных качествах</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Во всех случаях проведения общего собрания акционеров в отчетном периоде, повестка дня которого включала вопросы об избрании совета директоров, общество представило акционерам биографические данные всех кандидатов в члены совета директоров, результаты оценки соответствия профессиональной квалификации, опыта и навыков кандидатов текущим и ожидаемым потребностям общества, проведенной советом директоров (или его комитетом по номинациям), а также информацию о соответствии кандидата критериям независимости согласно рекомендациям 102 - 107 Кодекса и информацию о наличии письменного согласия кандидатов на избрание в состав совета директоров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jc w:val="both"/>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2.3.3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Состав совета директоров сбалансирован, в том числе по квалификации его членов, их опыту, знаниям и деловым качествам, и пользуется доверием акционеров</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В отчетном периоде совет директоров проанализировал собственные потребности в области профессиональной квалификации, опыта и навыков и определил компетенции, необходимые совету директоров в краткосрочной и долгосрочной перспективе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2.3.4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 xml:space="preserve">Количественный состав совета директоров общества дает возможность организовать деятельность совета директоров наиболее эффективным образом, включая возможность формирования комитетов </w:t>
            </w:r>
            <w:r>
              <w:rPr>
                <w:sz w:val="20"/>
                <w:szCs w:val="20"/>
              </w:rPr>
              <w:lastRenderedPageBreak/>
              <w:t>совета директоров, а также обеспечивает существенным миноритарным акционерам общества возможность избрания в состав совета директоров кандидата, за которого они голосуют</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lastRenderedPageBreak/>
              <w:t>1. В отчетном периоде совет директоров рассмотрел вопрос о соответствии количественного состава совета директоров потребностям общества и интересам акционеров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2.4</w:t>
            </w:r>
          </w:p>
        </w:tc>
        <w:tc>
          <w:tcPr>
            <w:tcW w:w="14176" w:type="dxa"/>
            <w:gridSpan w:val="4"/>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В состав совета директоров входит достаточное количество независимых директоров</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2.4.1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Независимым директором признается лицо, которое обладает достаточными профессионализмом, опытом и самостоятельностью для формирования собственной позиции, способно выносить объективные и добросовестные суждения, независимые от влияния исполнительных органов общества, отдельных групп акционеров или иных заинтересованных сторон. При этом следует учитывать, что в обычных условиях не может считаться независимым кандидат (избранный член совета директоров), который связан с обществом, его существенным акционером, существенным контрагентом или конкурентом общества или связан с государством</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В течение отчетного периода все независимые члены совета директоров отвечали всем критериям независимости, указанным в рекомендациях 102 - 107 Кодекса, или были признаны независимыми по решению совета директоров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2.4.2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 xml:space="preserve">Проводится оценка соответствия кандидатов в члены совета директоров критериям независимости, а также осуществляется регулярный анализ соответствия независимых </w:t>
            </w:r>
            <w:r>
              <w:rPr>
                <w:sz w:val="20"/>
                <w:szCs w:val="20"/>
              </w:rPr>
              <w:lastRenderedPageBreak/>
              <w:t>членов совета директоров критериям независимости. При проведении такой оценки содержание преобладает над формой</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lastRenderedPageBreak/>
              <w:t>1. В отчетном периоде совет директоров (или комитет по номинациям совета директоров) составил мнение о независимости каждого кандидата в совет директоров и представил акционерам соответствующее заключение.</w:t>
            </w:r>
          </w:p>
          <w:p w:rsidR="00773E2C" w:rsidRDefault="00805665">
            <w:pPr>
              <w:widowControl w:val="0"/>
              <w:autoSpaceDE w:val="0"/>
              <w:autoSpaceDN w:val="0"/>
              <w:adjustRightInd w:val="0"/>
              <w:jc w:val="both"/>
              <w:rPr>
                <w:sz w:val="20"/>
                <w:szCs w:val="20"/>
              </w:rPr>
            </w:pPr>
            <w:r>
              <w:rPr>
                <w:sz w:val="20"/>
                <w:szCs w:val="20"/>
              </w:rPr>
              <w:t xml:space="preserve">2. За отчетный период совет директоров (или комитет по номинациям совета директоров) по </w:t>
            </w:r>
            <w:r>
              <w:rPr>
                <w:sz w:val="20"/>
                <w:szCs w:val="20"/>
              </w:rPr>
              <w:lastRenderedPageBreak/>
              <w:t>крайней мере один раз рассмотрел вопрос о независимости действующих членов совета директоров (после их избрания).</w:t>
            </w:r>
          </w:p>
          <w:p w:rsidR="00773E2C" w:rsidRDefault="00805665">
            <w:pPr>
              <w:widowControl w:val="0"/>
              <w:autoSpaceDE w:val="0"/>
              <w:autoSpaceDN w:val="0"/>
              <w:adjustRightInd w:val="0"/>
              <w:jc w:val="both"/>
              <w:rPr>
                <w:sz w:val="20"/>
                <w:szCs w:val="20"/>
              </w:rPr>
            </w:pPr>
            <w:r>
              <w:rPr>
                <w:sz w:val="20"/>
                <w:szCs w:val="20"/>
              </w:rPr>
              <w:t>3 В обществе разработаны процедуры, определяющие необходимые действия члена совета директоров в том случае, если он перестает быть независимым, включая обязательства по своевременному информированию об этом совета директоров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lastRenderedPageBreak/>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2.4.3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Независимые директора составляют не менее одной трети избранного состава совета директоров</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Независимые директора составляют не менее одной трети состава совета директоров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color w:val="000000" w:themeColor="text1"/>
                <w:sz w:val="20"/>
                <w:szCs w:val="20"/>
              </w:rPr>
            </w:pPr>
            <w:r>
              <w:rPr>
                <w:color w:val="000000" w:themeColor="text1"/>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color w:val="000000" w:themeColor="text1"/>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2.4.4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Независимые директора играют ключевую роль в предотвращении внутренних конфликтов в обществе и совершении обществом существенных корпоративных действий</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Независимые директора (у которых отсутствовал конфликт интересов) в отчетном периоде предварительно оценивали существенные корпоративные действия, связанные с возможным конфликтом интересов, а результаты такой оценки предоставлялись совету директоров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jc w:val="both"/>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2.5</w:t>
            </w:r>
          </w:p>
        </w:tc>
        <w:tc>
          <w:tcPr>
            <w:tcW w:w="14176" w:type="dxa"/>
            <w:gridSpan w:val="4"/>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Председатель совета директоров способствует наиболее эффективному осуществлению функций, возложенных на совет директоров</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2.5.1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Председателем совета директоров избран независимый директор либо из числа избранных независимых директоров определен старший независимый директор, координирующий работу независимых директоров и осуществляющий взаимодействие с председателем совета директоров</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jc w:val="both"/>
              <w:rPr>
                <w:i/>
                <w:sz w:val="20"/>
                <w:szCs w:val="20"/>
                <w:lang w:eastAsia="en-US"/>
              </w:rPr>
            </w:pPr>
            <w:r>
              <w:rPr>
                <w:sz w:val="20"/>
                <w:szCs w:val="20"/>
              </w:rPr>
              <w:t xml:space="preserve">1. Председатель совета директоров является независимым директором или же среди независимых директоров определен старший независимый </w:t>
            </w:r>
            <w:r>
              <w:rPr>
                <w:sz w:val="20"/>
                <w:szCs w:val="20"/>
                <w:lang w:eastAsia="en-US"/>
              </w:rPr>
              <w:t>директор</w:t>
            </w:r>
            <w:r>
              <w:rPr>
                <w:sz w:val="20"/>
                <w:szCs w:val="20"/>
                <w:vertAlign w:val="superscript"/>
                <w:lang w:eastAsia="en-US"/>
              </w:rPr>
              <w:footnoteReference w:id="5"/>
            </w:r>
            <w:r>
              <w:rPr>
                <w:sz w:val="20"/>
                <w:szCs w:val="20"/>
                <w:lang w:eastAsia="en-US"/>
              </w:rPr>
              <w:t>.</w:t>
            </w:r>
          </w:p>
          <w:p w:rsidR="00773E2C" w:rsidRDefault="00805665">
            <w:pPr>
              <w:widowControl w:val="0"/>
              <w:autoSpaceDE w:val="0"/>
              <w:autoSpaceDN w:val="0"/>
              <w:adjustRightInd w:val="0"/>
              <w:jc w:val="both"/>
              <w:rPr>
                <w:sz w:val="20"/>
                <w:szCs w:val="20"/>
              </w:rPr>
            </w:pPr>
            <w:r>
              <w:rPr>
                <w:sz w:val="20"/>
                <w:szCs w:val="20"/>
              </w:rPr>
              <w:t>2. Роль, права и обязанности председателя совета директоров (и, если применимо, старшего независимого директора) должным образом определены во внутренних документах общества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jc w:val="both"/>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2.5.2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 xml:space="preserve">Председатель совета </w:t>
            </w:r>
            <w:r>
              <w:rPr>
                <w:sz w:val="20"/>
                <w:szCs w:val="20"/>
              </w:rPr>
              <w:lastRenderedPageBreak/>
              <w:t>директоров обеспечивает конструктивную атмосферу проведения заседаний, свободное обсуждение вопросов, включенных в повестку дня заседания, контроль за исполнением решений, принятых советом директоров</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lastRenderedPageBreak/>
              <w:t xml:space="preserve">1. Эффективность работы председателя совета </w:t>
            </w:r>
            <w:r>
              <w:rPr>
                <w:sz w:val="20"/>
                <w:szCs w:val="20"/>
              </w:rPr>
              <w:lastRenderedPageBreak/>
              <w:t>директоров оценивалась в рамках процедуры оценки (самооценки) качества работы совета директоров в отчетном периоде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lastRenderedPageBreak/>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2.5.3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Председатель совета директоров принимает необходимые меры для своевременного предоставления членам совета директоров информации, необходимой для принятия решений по вопросам повестки дня</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Обязанность председателя совета директоров принимать меры по обеспечению своевременного предоставления полной и достоверной информации членам совета директоров по вопросам повестки заседания совета директоров закреплена во внутренних документах общества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2.6</w:t>
            </w:r>
          </w:p>
        </w:tc>
        <w:tc>
          <w:tcPr>
            <w:tcW w:w="14176" w:type="dxa"/>
            <w:gridSpan w:val="4"/>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Члены совета директоров действуют добросовестно и разумно в интересах общества и его акционеров на основе достаточной информированности, с должной степенью заботливости и осмотрительности</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2.6.1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Члены совета директоров принимают решения с учетом всей имеющейся информации, в отсутствие конфликта интересов, с учетом равного отношения к акционерам общества, в рамках обычного предпринимательского риска</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Внутренними документами общества установлено, что член совета директоров обязан уведомить совет директоров, если у него возникает конфликт интересов в отношении любого вопроса повестки дня заседания совета директоров или комитета совета директоров, до начала обсуждения соответствующего вопроса повестки.</w:t>
            </w:r>
          </w:p>
          <w:p w:rsidR="00773E2C" w:rsidRDefault="00805665">
            <w:pPr>
              <w:widowControl w:val="0"/>
              <w:autoSpaceDE w:val="0"/>
              <w:autoSpaceDN w:val="0"/>
              <w:adjustRightInd w:val="0"/>
              <w:jc w:val="both"/>
              <w:rPr>
                <w:sz w:val="20"/>
                <w:szCs w:val="20"/>
              </w:rPr>
            </w:pPr>
            <w:r>
              <w:rPr>
                <w:sz w:val="20"/>
                <w:szCs w:val="20"/>
              </w:rPr>
              <w:t>2 Внутренние документы общества предусматривают, что член совета директоров должен воздержаться от голосования по любому вопросу, в котором у него есть конфликт интересов.</w:t>
            </w:r>
          </w:p>
          <w:p w:rsidR="00773E2C" w:rsidRDefault="00805665">
            <w:pPr>
              <w:widowControl w:val="0"/>
              <w:autoSpaceDE w:val="0"/>
              <w:autoSpaceDN w:val="0"/>
              <w:adjustRightInd w:val="0"/>
              <w:jc w:val="both"/>
              <w:rPr>
                <w:sz w:val="20"/>
                <w:szCs w:val="20"/>
              </w:rPr>
            </w:pPr>
            <w:r>
              <w:rPr>
                <w:sz w:val="20"/>
                <w:szCs w:val="20"/>
              </w:rPr>
              <w:t>3. В обществе установлена процедура, которая позволяет совету директоров получать профессиональные консультации по вопросам, относящимся к его компетенции, за счет общества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2.6.2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 xml:space="preserve">Права и обязанности членов </w:t>
            </w:r>
            <w:r>
              <w:rPr>
                <w:sz w:val="20"/>
                <w:szCs w:val="20"/>
              </w:rPr>
              <w:lastRenderedPageBreak/>
              <w:t>совета директоров четко сформулированы и закреплены во внутренних документах общества</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lastRenderedPageBreak/>
              <w:t xml:space="preserve">1. В обществе принят и опубликован </w:t>
            </w:r>
            <w:r>
              <w:rPr>
                <w:sz w:val="20"/>
                <w:szCs w:val="20"/>
              </w:rPr>
              <w:lastRenderedPageBreak/>
              <w:t>внутренний документ, четко определяющий права и обязанности членов совета директоров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lastRenderedPageBreak/>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2.6.3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Члены совета директоров имеют достаточно времени для выполнения своих обязанностей</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Индивидуальная посещаемость заседаний совета и комитетов, а также достаточность времени для работы в совете директоров, в том числе в его комитетах, проанализирована в рамках процедуры оценки (самооценки) качества работы совета директоров в отчетном периоде.</w:t>
            </w:r>
          </w:p>
          <w:p w:rsidR="00773E2C" w:rsidRDefault="00805665">
            <w:pPr>
              <w:widowControl w:val="0"/>
              <w:autoSpaceDE w:val="0"/>
              <w:autoSpaceDN w:val="0"/>
              <w:adjustRightInd w:val="0"/>
              <w:jc w:val="both"/>
              <w:rPr>
                <w:sz w:val="20"/>
                <w:szCs w:val="20"/>
              </w:rPr>
            </w:pPr>
            <w:r>
              <w:rPr>
                <w:sz w:val="20"/>
                <w:szCs w:val="20"/>
              </w:rPr>
              <w:t>2. В соответствии с внутренними документами общества члены совета директоров обязаны уведомлять совет директоров о своем намерении войти в состав органов управления других организаций (помимо подконтрольных обществу организаций), а также о факте такого назначения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2.6.4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Все члены совета директоров в равной степени имеют возможность доступа к документам и информации общества. Вновь избранным членам совета директоров в максимально возможный короткий срок предоставляется достаточная информация об обществе и о работе совета директоров</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В соответствии с внутренними документами общества члены совета директоров имеют право получать информацию и документы, необходимые членам совета директоров общества для исполнения ими своих обязанностей, касающиеся общества и подконтрольных ему организаций, а исполнительные органы общества обязаны обеспечить предоставление соответствующей информации и документов.</w:t>
            </w:r>
          </w:p>
          <w:p w:rsidR="00773E2C" w:rsidRDefault="00805665">
            <w:pPr>
              <w:widowControl w:val="0"/>
              <w:autoSpaceDE w:val="0"/>
              <w:autoSpaceDN w:val="0"/>
              <w:adjustRightInd w:val="0"/>
              <w:jc w:val="both"/>
              <w:rPr>
                <w:sz w:val="20"/>
                <w:szCs w:val="20"/>
              </w:rPr>
            </w:pPr>
            <w:r>
              <w:rPr>
                <w:sz w:val="20"/>
                <w:szCs w:val="20"/>
              </w:rPr>
              <w:t>2. В обществе реализуется формализованная программа ознакомительных мероприятий для вновь избранных членов совета директоров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2.7</w:t>
            </w:r>
          </w:p>
        </w:tc>
        <w:tc>
          <w:tcPr>
            <w:tcW w:w="14176" w:type="dxa"/>
            <w:gridSpan w:val="4"/>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Заседания совета директоров, подготовка к ним и участие в них членов совета директоров обеспечивают эффективную деятельность совета директоров</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2.7.1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Заседания совета директоров проводятся по мере необходимости, с учетом масштабов деятельности и стоящих перед обществом в определенный период времени задач</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Совет директоров провел не менее шести заседаний за отчетный год</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lastRenderedPageBreak/>
              <w:t>2.7.2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Во внутренних документах общества закреплен порядок подготовки и проведения заседаний совета директоров, обеспечивающий членам совета директоров возможность надлежащим образом подготовиться к его проведению</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В обществе утвержден внутренний документ, определяющий процедуру подготовки и проведения заседаний совета директоров, в котором в том числе установлено, что уведомление о проведении заседания должно быть сделано, как правило, не менее чем за пять дней до даты его проведения.</w:t>
            </w:r>
          </w:p>
          <w:p w:rsidR="00773E2C" w:rsidRDefault="00805665">
            <w:pPr>
              <w:widowControl w:val="0"/>
              <w:autoSpaceDE w:val="0"/>
              <w:autoSpaceDN w:val="0"/>
              <w:adjustRightInd w:val="0"/>
              <w:jc w:val="both"/>
              <w:rPr>
                <w:sz w:val="20"/>
                <w:szCs w:val="20"/>
              </w:rPr>
            </w:pPr>
            <w:r>
              <w:rPr>
                <w:sz w:val="20"/>
                <w:szCs w:val="20"/>
              </w:rPr>
              <w:t>2. В отчетном периоде отсутствующим в месте проведения заседания совета директоров членам совета директоров предоставлялась возможность участия в обсуждении вопросов повестки дня и голосовании дистанционно - посредством конференц- и видео-конференц-связи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2.7.3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Форма проведения заседания совета директоров определяется с учетом важности вопросов повестки дня. Наиболее важные вопросы решаются на заседаниях, проводимых в очной форме</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Уставом или внутренним документом общества предусмотрено, что наиболее важные вопросы (в том числе перечисленные в рекомендации 168 Кодекса) должны рассматриваться на очных заседаниях совета директоров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jc w:val="both"/>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2.7.4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Решения по наиболее важным вопросам деятельности общества принимаются на заседании совета директоров квалифицированным большинством или большинством голосов всех избранных членов совета директоров</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Уставом общества предусмотрено, что решения по наиболее важным вопросам, в том числе изложенным в рекомендации 170 Кодекса, должны приниматься на заседании совета директоров квалифицированным большинством, не менее чем в 3/4 голосов, или же большинством голосов всех избранных членов совета директоров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jc w:val="both"/>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2.8</w:t>
            </w:r>
          </w:p>
        </w:tc>
        <w:tc>
          <w:tcPr>
            <w:tcW w:w="14176" w:type="dxa"/>
            <w:gridSpan w:val="4"/>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Совет директоров создает комитеты для предварительного рассмотрения наиболее важных вопросов деятельности общества</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2.8.1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 xml:space="preserve">Для предварительного рассмотрения вопросов, связанных с контролем за финансово-хозяйственной деятельностью общества, создан комитет по аудиту, </w:t>
            </w:r>
            <w:r>
              <w:rPr>
                <w:sz w:val="20"/>
                <w:szCs w:val="20"/>
              </w:rPr>
              <w:lastRenderedPageBreak/>
              <w:t>состоящий из независимых директоров</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lastRenderedPageBreak/>
              <w:t>1. Совет директоров сформировал комитет по аудиту, состоящий исключительно из независимых директоров.</w:t>
            </w:r>
          </w:p>
          <w:p w:rsidR="00773E2C" w:rsidRDefault="00805665">
            <w:pPr>
              <w:widowControl w:val="0"/>
              <w:autoSpaceDE w:val="0"/>
              <w:autoSpaceDN w:val="0"/>
              <w:adjustRightInd w:val="0"/>
              <w:jc w:val="both"/>
              <w:rPr>
                <w:sz w:val="20"/>
                <w:szCs w:val="20"/>
              </w:rPr>
            </w:pPr>
            <w:r>
              <w:rPr>
                <w:sz w:val="20"/>
                <w:szCs w:val="20"/>
              </w:rPr>
              <w:t xml:space="preserve">2. Во внутренних документах общества определены задачи комитета по аудиту, в том числе задачи, содержащиеся в рекомендации </w:t>
            </w:r>
            <w:r>
              <w:rPr>
                <w:sz w:val="20"/>
                <w:szCs w:val="20"/>
              </w:rPr>
              <w:lastRenderedPageBreak/>
              <w:t>172 Кодекса.</w:t>
            </w:r>
          </w:p>
          <w:p w:rsidR="00773E2C" w:rsidRDefault="00805665">
            <w:pPr>
              <w:widowControl w:val="0"/>
              <w:autoSpaceDE w:val="0"/>
              <w:autoSpaceDN w:val="0"/>
              <w:adjustRightInd w:val="0"/>
              <w:jc w:val="both"/>
              <w:rPr>
                <w:sz w:val="20"/>
                <w:szCs w:val="20"/>
              </w:rPr>
            </w:pPr>
            <w:r>
              <w:rPr>
                <w:sz w:val="20"/>
                <w:szCs w:val="20"/>
              </w:rPr>
              <w:t>3. По крайней мере, один член комитета по аудиту, являющийся независимым директором, обладает опытом и знаниями в области подготовки, анализа, оценки и аудита бухгалтерской (финансовой) отчетности.</w:t>
            </w:r>
          </w:p>
          <w:p w:rsidR="00773E2C" w:rsidRDefault="00805665">
            <w:pPr>
              <w:widowControl w:val="0"/>
              <w:autoSpaceDE w:val="0"/>
              <w:autoSpaceDN w:val="0"/>
              <w:adjustRightInd w:val="0"/>
              <w:jc w:val="both"/>
              <w:rPr>
                <w:sz w:val="20"/>
                <w:szCs w:val="20"/>
              </w:rPr>
            </w:pPr>
            <w:r>
              <w:rPr>
                <w:sz w:val="20"/>
                <w:szCs w:val="20"/>
              </w:rPr>
              <w:t>4. Заседания комитета по аудиту проводились не реже одного раза в квартал в течение отчетного периода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color w:val="000000" w:themeColor="text1"/>
                <w:sz w:val="20"/>
                <w:szCs w:val="20"/>
              </w:rPr>
            </w:pPr>
            <w:r>
              <w:rPr>
                <w:color w:val="000000" w:themeColor="text1"/>
                <w:sz w:val="20"/>
                <w:szCs w:val="20"/>
              </w:rPr>
              <w:lastRenderedPageBreak/>
              <w:t>частично 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rPr>
                <w:color w:val="000000" w:themeColor="text1"/>
                <w:sz w:val="20"/>
                <w:szCs w:val="20"/>
                <w:lang w:eastAsia="en-US"/>
              </w:rPr>
            </w:pPr>
            <w:r>
              <w:rPr>
                <w:color w:val="000000" w:themeColor="text1"/>
                <w:sz w:val="20"/>
                <w:szCs w:val="20"/>
                <w:lang w:eastAsia="en-US"/>
              </w:rPr>
              <w:t>Критерий 1 не соблюдается.</w:t>
            </w:r>
          </w:p>
          <w:p w:rsidR="00773E2C" w:rsidRDefault="00805665">
            <w:pPr>
              <w:jc w:val="both"/>
              <w:rPr>
                <w:color w:val="000000" w:themeColor="text1"/>
                <w:sz w:val="20"/>
                <w:szCs w:val="20"/>
                <w:lang w:eastAsia="en-US"/>
              </w:rPr>
            </w:pPr>
            <w:r>
              <w:rPr>
                <w:color w:val="000000" w:themeColor="text1"/>
                <w:sz w:val="20"/>
                <w:szCs w:val="20"/>
                <w:lang w:eastAsia="en-US"/>
              </w:rPr>
              <w:t>Наблюдательным советом Банка создан Комитет по аудиту, рискам и стратегии.</w:t>
            </w:r>
          </w:p>
          <w:p w:rsidR="00773E2C" w:rsidRDefault="00805665">
            <w:pPr>
              <w:jc w:val="both"/>
              <w:rPr>
                <w:color w:val="000000" w:themeColor="text1"/>
                <w:sz w:val="20"/>
                <w:szCs w:val="20"/>
                <w:lang w:eastAsia="en-US"/>
              </w:rPr>
            </w:pPr>
            <w:r>
              <w:rPr>
                <w:color w:val="000000" w:themeColor="text1"/>
                <w:sz w:val="20"/>
                <w:szCs w:val="20"/>
                <w:lang w:eastAsia="en-US"/>
              </w:rPr>
              <w:t xml:space="preserve">В 2025 году в целях всестороннего рассмотрения вопросов Комитет по аудиту, рискам и стратегии Наблюдательного совета Банка (далее- КАРС) действовал в составе 4 членов. При этом в </w:t>
            </w:r>
            <w:r>
              <w:rPr>
                <w:color w:val="000000" w:themeColor="text1"/>
                <w:sz w:val="20"/>
                <w:szCs w:val="20"/>
                <w:lang w:eastAsia="en-US"/>
              </w:rPr>
              <w:lastRenderedPageBreak/>
              <w:t xml:space="preserve">течение 2025 года работу КАРС возглавлял независимый член Наблюдательного совета, а количество независимых членов Наблюдательного совета, входящих в состав КАРС, составляло 75%. </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lastRenderedPageBreak/>
              <w:t>2.8.2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Для предварительного рассмотрения вопросов, связанных с формированием эффективной и прозрачной практики вознаграждения, создан комитет по вознаграждениям, состоящий из независимых директоров и возглавляемый независимым директором, не являющимся председателем совета директоров</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Советом директоров создан комитет по вознаграждениям, который состоит только из независимых директоров.</w:t>
            </w:r>
          </w:p>
          <w:p w:rsidR="00773E2C" w:rsidRDefault="00805665">
            <w:pPr>
              <w:widowControl w:val="0"/>
              <w:autoSpaceDE w:val="0"/>
              <w:autoSpaceDN w:val="0"/>
              <w:adjustRightInd w:val="0"/>
              <w:jc w:val="both"/>
              <w:rPr>
                <w:sz w:val="20"/>
                <w:szCs w:val="20"/>
              </w:rPr>
            </w:pPr>
            <w:r>
              <w:rPr>
                <w:sz w:val="20"/>
                <w:szCs w:val="20"/>
              </w:rPr>
              <w:t>2. Председателем комитета по вознаграждениям является независимый директор, который не является председателем совета директоров</w:t>
            </w:r>
          </w:p>
          <w:p w:rsidR="00773E2C" w:rsidRDefault="00805665">
            <w:pPr>
              <w:widowControl w:val="0"/>
              <w:autoSpaceDE w:val="0"/>
              <w:autoSpaceDN w:val="0"/>
              <w:adjustRightInd w:val="0"/>
              <w:jc w:val="both"/>
              <w:rPr>
                <w:sz w:val="20"/>
                <w:szCs w:val="20"/>
              </w:rPr>
            </w:pPr>
            <w:r>
              <w:rPr>
                <w:sz w:val="20"/>
                <w:szCs w:val="20"/>
              </w:rPr>
              <w:t>3. Во внутренних документах общества определены задачи комитета по вознаграждениям, включая в том числе задачи, содержащиеся в рекомендации 180 Кодекса, а также условия (события), при наступлении которых комитет по вознаграждениям рассматривает вопрос о пересмотре политики общества по вознаграждению членов совета директоров, исполнительных органов и иных ключевых руководящих работников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color w:val="000000" w:themeColor="text1"/>
                <w:sz w:val="20"/>
                <w:szCs w:val="20"/>
              </w:rPr>
            </w:pPr>
            <w:r>
              <w:rPr>
                <w:color w:val="000000" w:themeColor="text1"/>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jc w:val="both"/>
              <w:rPr>
                <w:color w:val="000000" w:themeColor="text1"/>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2.8.3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 xml:space="preserve">Для предварительного рассмотрения вопросов, связанных с осуществлением кадрового планирования (планирования преемственности), профессиональным составом и эффективностью работы совета директоров, создан комитет по номинациям (назначениям, кадрам), большинство членов которого </w:t>
            </w:r>
            <w:r>
              <w:rPr>
                <w:sz w:val="20"/>
                <w:szCs w:val="20"/>
              </w:rPr>
              <w:lastRenderedPageBreak/>
              <w:t>являются независимыми директорами</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lastRenderedPageBreak/>
              <w:t>1. Советом директоров создан комитет по номинациям (или его задачи, указанные в рекомендации 186 Кодекса, реализуются в рамках иного комитета</w:t>
            </w:r>
            <w:r>
              <w:rPr>
                <w:i/>
                <w:sz w:val="20"/>
                <w:szCs w:val="20"/>
                <w:vertAlign w:val="superscript"/>
                <w:lang w:eastAsia="en-US"/>
              </w:rPr>
              <w:footnoteReference w:id="6"/>
            </w:r>
            <w:r>
              <w:rPr>
                <w:sz w:val="20"/>
                <w:szCs w:val="20"/>
              </w:rPr>
              <w:t>), большинство членов которого являются независимыми директорами.</w:t>
            </w:r>
          </w:p>
          <w:p w:rsidR="00773E2C" w:rsidRDefault="00805665">
            <w:pPr>
              <w:widowControl w:val="0"/>
              <w:autoSpaceDE w:val="0"/>
              <w:autoSpaceDN w:val="0"/>
              <w:adjustRightInd w:val="0"/>
              <w:jc w:val="both"/>
              <w:rPr>
                <w:sz w:val="20"/>
                <w:szCs w:val="20"/>
              </w:rPr>
            </w:pPr>
            <w:r>
              <w:rPr>
                <w:sz w:val="20"/>
                <w:szCs w:val="20"/>
              </w:rPr>
              <w:t>2. Во внутренних документах общества определены задачи комитета по номинациям (или соответствующего комитета с совмещенным функционалом), включая в том числе задачи, содержащиеся в рекомендации 186 Кодекса.</w:t>
            </w:r>
          </w:p>
          <w:p w:rsidR="00773E2C" w:rsidRDefault="00805665">
            <w:pPr>
              <w:widowControl w:val="0"/>
              <w:autoSpaceDE w:val="0"/>
              <w:autoSpaceDN w:val="0"/>
              <w:adjustRightInd w:val="0"/>
              <w:jc w:val="both"/>
              <w:rPr>
                <w:sz w:val="20"/>
                <w:szCs w:val="20"/>
              </w:rPr>
            </w:pPr>
            <w:r>
              <w:rPr>
                <w:sz w:val="20"/>
                <w:szCs w:val="20"/>
              </w:rPr>
              <w:lastRenderedPageBreak/>
              <w:t>3. В целях формирования совета директоров, наиболее полно отвечающего целям и задачам общества, комитет по номинациям в отчетном периоде самостоятельно или совместно с иными комитетами совета директоров или уполномоченное подразделение общества по взаимодействию с акционерами организовал взаимодействие с акционерами, не ограничиваясь кругом крупнейших акционеров, в контексте подбора кандидатов в совет директоров общества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color w:val="000000" w:themeColor="text1"/>
                <w:sz w:val="20"/>
                <w:szCs w:val="20"/>
              </w:rPr>
            </w:pPr>
            <w:r>
              <w:rPr>
                <w:color w:val="000000" w:themeColor="text1"/>
                <w:sz w:val="20"/>
                <w:szCs w:val="20"/>
              </w:rPr>
              <w:lastRenderedPageBreak/>
              <w:t>частично 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color w:val="000000" w:themeColor="text1"/>
                <w:sz w:val="20"/>
                <w:szCs w:val="20"/>
                <w:lang w:eastAsia="en-US"/>
              </w:rPr>
            </w:pPr>
            <w:r>
              <w:rPr>
                <w:color w:val="000000" w:themeColor="text1"/>
                <w:sz w:val="20"/>
                <w:szCs w:val="20"/>
                <w:lang w:eastAsia="en-US"/>
              </w:rPr>
              <w:t>Критерии 1, 2 соблюдаются частично.</w:t>
            </w:r>
          </w:p>
          <w:p w:rsidR="00773E2C" w:rsidRDefault="00805665">
            <w:pPr>
              <w:widowControl w:val="0"/>
              <w:autoSpaceDE w:val="0"/>
              <w:autoSpaceDN w:val="0"/>
              <w:adjustRightInd w:val="0"/>
              <w:jc w:val="both"/>
              <w:rPr>
                <w:color w:val="000000" w:themeColor="text1"/>
                <w:sz w:val="20"/>
                <w:szCs w:val="20"/>
                <w:lang w:eastAsia="en-US"/>
              </w:rPr>
            </w:pPr>
            <w:r>
              <w:rPr>
                <w:color w:val="000000" w:themeColor="text1"/>
                <w:sz w:val="20"/>
                <w:szCs w:val="20"/>
                <w:lang w:eastAsia="en-US"/>
              </w:rPr>
              <w:t xml:space="preserve">Отдельно комитет по номинациям Наблюдательного совета в Банке не создавался. Задачи указанного комитета реализуются в рамках Комитета по </w:t>
            </w:r>
            <w:r>
              <w:rPr>
                <w:color w:val="000000" w:themeColor="text1"/>
                <w:sz w:val="20"/>
                <w:szCs w:val="20"/>
              </w:rPr>
              <w:t>кадрам, вознаграждениям и корпоративному управлению (далее- ККВКУ)</w:t>
            </w:r>
            <w:r>
              <w:rPr>
                <w:color w:val="000000" w:themeColor="text1"/>
                <w:sz w:val="20"/>
                <w:szCs w:val="20"/>
                <w:lang w:eastAsia="en-US"/>
              </w:rPr>
              <w:t>, совмещающего функционал комитета по вознаграждениям и комитета по номинациям. Задачи ККВКУ определены в Положении о ККВКУ и включают в том числе вопросы, предусмотренные п.186 Кодекса корпоративного управления. В 2026 году Банк не планирует создавать отдельный комитет по номинациям</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2.8.4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С учетом масштабов деятельности и уровня риска совет директоров общества удостоверился в том, что состав его комитетов полностью отвечает целям деятельности общества. Дополнительные комитеты либо были сформированы, либо не были признаны необходимыми (комитет по стратегии, комитет по корпоративному управлению, комитет по этике, комитет по управлению рисками, комитет по бюджету, комитет по здоровью, безопасности и окружающей среде и др.)</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В отчетном периоде совет директоров общества рассмотрел вопрос о соответствии структуры совета директоров масштабу и характеру, целям деятельности и потребностям, профилю рисков общества. Дополнительные комитеты либо были сформированы, либо не были признаны необходимыми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2.8.5</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Состав комитетов определен таким образом, чтобы он позволял проводить всестороннее обсуждение предварительно рассматриваемых вопросов с учетом различных мнений</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Комитет по аудиту, комитет по вознаграждениям, комитет по номинациям (или соответствующий комитет с совмещенным функционалом) в отчетном периоде возглавлялись независимыми директорами.</w:t>
            </w:r>
          </w:p>
          <w:p w:rsidR="00773E2C" w:rsidRDefault="00805665">
            <w:pPr>
              <w:widowControl w:val="0"/>
              <w:autoSpaceDE w:val="0"/>
              <w:autoSpaceDN w:val="0"/>
              <w:adjustRightInd w:val="0"/>
              <w:jc w:val="both"/>
              <w:rPr>
                <w:sz w:val="20"/>
                <w:szCs w:val="20"/>
              </w:rPr>
            </w:pPr>
            <w:r>
              <w:rPr>
                <w:sz w:val="20"/>
                <w:szCs w:val="20"/>
              </w:rPr>
              <w:t xml:space="preserve">2. Во внутренних документах (политиках) общества предусмотрены положения, в соответствии с которыми лица, не входящие в состав комитета по аудиту, комитета по номинациям (или соответствующий комитет с совмещенным функционалом) и комитета по </w:t>
            </w:r>
            <w:r>
              <w:rPr>
                <w:sz w:val="20"/>
                <w:szCs w:val="20"/>
              </w:rPr>
              <w:lastRenderedPageBreak/>
              <w:t>вознаграждениям, могут посещать заседания комитетов только по приглашению председателя соответствующего комитета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lastRenderedPageBreak/>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highlight w:val="cyan"/>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2.8.6</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Председатели комитетов регулярно информируют совет директоров и его председателя о работе своих комитетов</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В течение отчетного периода председатели комитетов регулярно отчитывались о работе комитетов перед советом директоров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highlight w:val="cyan"/>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2.9</w:t>
            </w:r>
          </w:p>
        </w:tc>
        <w:tc>
          <w:tcPr>
            <w:tcW w:w="14176" w:type="dxa"/>
            <w:gridSpan w:val="4"/>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Совет директоров обеспечивает проведение оценки качества работы совета директоров, его комитетов и членов совета директоров</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2.9.1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Проведение оценки качества работы совета директоров направлено на определение степени эффективности работы совета директоров, комитетов и членов совета директоров, соответствия их работы потребностям развития общества, активизацию работы совета директоров и выявление областей, в которых их деятельность может быть улучшена</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Во внутренних документах общества определены процедуры проведения оценки (самооценки) качества работы совета директоров.</w:t>
            </w:r>
          </w:p>
          <w:p w:rsidR="00773E2C" w:rsidRDefault="00805665">
            <w:pPr>
              <w:widowControl w:val="0"/>
              <w:autoSpaceDE w:val="0"/>
              <w:autoSpaceDN w:val="0"/>
              <w:adjustRightInd w:val="0"/>
              <w:jc w:val="both"/>
              <w:rPr>
                <w:sz w:val="20"/>
                <w:szCs w:val="20"/>
              </w:rPr>
            </w:pPr>
            <w:r>
              <w:rPr>
                <w:sz w:val="20"/>
                <w:szCs w:val="20"/>
              </w:rPr>
              <w:t>2. Оценка (самооценка) качества работы совета директоров, проведенная в отчетном периоде, включала оценку работы комитетов, индивидуальную оценку каждого члена совета директоров и совета директоров в целом.</w:t>
            </w:r>
          </w:p>
          <w:p w:rsidR="00773E2C" w:rsidRDefault="00805665">
            <w:pPr>
              <w:widowControl w:val="0"/>
              <w:autoSpaceDE w:val="0"/>
              <w:autoSpaceDN w:val="0"/>
              <w:adjustRightInd w:val="0"/>
              <w:jc w:val="both"/>
              <w:rPr>
                <w:sz w:val="20"/>
                <w:szCs w:val="20"/>
              </w:rPr>
            </w:pPr>
            <w:r>
              <w:rPr>
                <w:sz w:val="20"/>
                <w:szCs w:val="20"/>
              </w:rPr>
              <w:t>3. Результаты оценки (самооценки) качества работы совета директоров, проведенной в течение отчетного периода, были рассмотрены на очном заседании совета директоров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2.9.2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Оценка работы совета директоров, комитетов и членов совета директоров осуществляется на регулярной основе не реже одного раза в год. Для проведения независимой оценки качества работы совета директоров не реже одного раза в три года привлекается внешняя организация (консультант)</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Для проведения независимой оценки качества работы совета директоров в течение трех последних отчетных периодов по меньшей мере один раз обществом привлекалась внешняя организация (консультант)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3.1</w:t>
            </w:r>
          </w:p>
        </w:tc>
        <w:tc>
          <w:tcPr>
            <w:tcW w:w="14176" w:type="dxa"/>
            <w:gridSpan w:val="4"/>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Корпоративный секретарь общества обеспечивает эффективное текущее взаимодействие с акционерами, координацию действий общества по защите прав и интересов акционеров, поддержку эффективной работы совета директоров</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lastRenderedPageBreak/>
              <w:t>3.1.1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Корпоративный секретарь обладает знаниями, опытом и квалификацией, достаточными для исполнения возложенных на него обязанностей, безупречной репутацией и пользуется доверием акционеров</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На сайте общества в сети Интернет и в годовом отчете представлена биографическая информация о корпоративном секретаре (включая сведения о возрасте, образовании, квалификации, опыте), а также сведения о должностях в органах управления иных юридических лиц, занимаемых корпоративным секретарем в течение не менее чем пяти последних лет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tabs>
                <w:tab w:val="left" w:pos="1260"/>
              </w:tabs>
              <w:jc w:val="both"/>
              <w:rPr>
                <w:color w:val="000000" w:themeColor="text1"/>
                <w:sz w:val="20"/>
                <w:szCs w:val="20"/>
                <w:highlight w:val="green"/>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3.1.2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Корпоративный секретарь обладает достаточной независимостью от исполнительных органов общества и имеет необходимые полномочия и ресурсы для выполнения поставленных перед ним задач</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В обществе принят и раскрыт внутренний документ - положение о корпоративном секретаре.</w:t>
            </w:r>
          </w:p>
          <w:p w:rsidR="00773E2C" w:rsidRDefault="00805665">
            <w:pPr>
              <w:widowControl w:val="0"/>
              <w:autoSpaceDE w:val="0"/>
              <w:autoSpaceDN w:val="0"/>
              <w:adjustRightInd w:val="0"/>
              <w:jc w:val="both"/>
              <w:rPr>
                <w:sz w:val="20"/>
                <w:szCs w:val="20"/>
              </w:rPr>
            </w:pPr>
            <w:r>
              <w:rPr>
                <w:sz w:val="20"/>
                <w:szCs w:val="20"/>
              </w:rPr>
              <w:t>2. Совет директоров утверждает кандидатуру на должность корпоративного секретаря и прекращает его полномочия, рассматривает вопрос о выплате ему дополнительного вознаграждения.</w:t>
            </w:r>
          </w:p>
          <w:p w:rsidR="00773E2C" w:rsidRDefault="00805665">
            <w:pPr>
              <w:widowControl w:val="0"/>
              <w:autoSpaceDE w:val="0"/>
              <w:autoSpaceDN w:val="0"/>
              <w:adjustRightInd w:val="0"/>
              <w:jc w:val="both"/>
              <w:rPr>
                <w:sz w:val="20"/>
                <w:szCs w:val="20"/>
              </w:rPr>
            </w:pPr>
            <w:r>
              <w:rPr>
                <w:sz w:val="20"/>
                <w:szCs w:val="20"/>
              </w:rPr>
              <w:t>3. Во внутренних документах общества закреплено право корпоративного секретаря запрашивать, получать документы общества и информацию у органов управления, структурных подразделений и должностных лиц общества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jc w:val="both"/>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4.1</w:t>
            </w:r>
          </w:p>
        </w:tc>
        <w:tc>
          <w:tcPr>
            <w:tcW w:w="14176" w:type="dxa"/>
            <w:gridSpan w:val="4"/>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Уровень выплачиваемого обществом вознаграждения достаточен для привлечения, мотивации и удержания лиц, обладающих необходимой для общества компетенцией и квалификацией. Выплата вознаграждения членам совета директоров, исполнительным органам и иным ключевым руководящим работникам общества осуществляется в соответствии с принятой в обществе политикой по вознаграждению</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4.1.1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 xml:space="preserve">Уровень вознаграждения, предоставляемого обществом членам совета директоров, исполнительным органам и иным ключевым руководящим работникам, создает достаточную мотивацию для их эффективной работы, позволяя обществу привлекать и удерживать компетентных и квалифицированных специалистов. При этом </w:t>
            </w:r>
            <w:r>
              <w:rPr>
                <w:sz w:val="20"/>
                <w:szCs w:val="20"/>
              </w:rPr>
              <w:lastRenderedPageBreak/>
              <w:t>общество избегает большего, чем это необходимо, уровня вознаграждения, а также неоправданно большого разрыва между уровнями вознаграждения указанных лиц и работников общества</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lastRenderedPageBreak/>
              <w:t>1. Вознаграждение членов совета директоров, исполнительных органов и иных ключевых руководящих работников общества определено с учетом результатов сравнительного анализа уровня вознаграждения в сопоставимых компаниях</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частично 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 xml:space="preserve">В соответствии с Положением о Наблюдательном совете Публичного акционерного общества «БАНК УРАЛСИБ» и Положением о вознаграждениях и компенсациях, выплачиваемых членам Наблюдательного совета Публичного акционерного общества «БАНК УРАЛСИБ», по решению Общего собрания акционеров Банка членам Наблюдательного совета Банка в период исполнения ими своих обязанностей, могут выплачиваться вознаграждение и (или) компенсироваться расходы, связанные с исполнением ими функций членов Наблюдательного совета Банка. Размеры таких вознаграждений и компенсаций устанавливаются решением Общего собрания акционеров Банка. </w:t>
            </w:r>
          </w:p>
          <w:p w:rsidR="00773E2C" w:rsidRDefault="00805665">
            <w:pPr>
              <w:widowControl w:val="0"/>
              <w:autoSpaceDE w:val="0"/>
              <w:autoSpaceDN w:val="0"/>
              <w:adjustRightInd w:val="0"/>
              <w:jc w:val="both"/>
              <w:rPr>
                <w:sz w:val="20"/>
                <w:szCs w:val="20"/>
              </w:rPr>
            </w:pPr>
            <w:r>
              <w:rPr>
                <w:sz w:val="20"/>
                <w:szCs w:val="20"/>
              </w:rPr>
              <w:t xml:space="preserve">Общее собрание акционеров в 2025 году решений о выплате членам Наблюдательного совета вознаграждения и (или) </w:t>
            </w:r>
            <w:r>
              <w:rPr>
                <w:sz w:val="20"/>
                <w:szCs w:val="20"/>
              </w:rPr>
              <w:lastRenderedPageBreak/>
              <w:t>компенсации расходов, связанных с исполнением ими функций членов Наблюдательного совета, в соответствии рекомендацией Наблюдательного совета, не принимало. Решение Наблюдательного совета о рекомендациях Общему собранию акционеров по вознаграждению членов Наблюдательного совета принято Наблюдательным советом при подготовке к годовому заседанию Общего собрания акционеров в 2025 году.</w:t>
            </w:r>
          </w:p>
          <w:p w:rsidR="00773E2C" w:rsidRDefault="00805665">
            <w:pPr>
              <w:widowControl w:val="0"/>
              <w:autoSpaceDE w:val="0"/>
              <w:autoSpaceDN w:val="0"/>
              <w:adjustRightInd w:val="0"/>
              <w:jc w:val="both"/>
              <w:rPr>
                <w:sz w:val="20"/>
                <w:szCs w:val="20"/>
              </w:rPr>
            </w:pPr>
            <w:r>
              <w:rPr>
                <w:sz w:val="20"/>
                <w:szCs w:val="20"/>
              </w:rPr>
              <w:t>Согласно полученным в ходе проведения независимой оценки деятельности Наблюдательного совета в 2025 году, большинство членов Наблюдательного совета воспринимают свою деятельность в составе Наблюдательного совета Банка в качестве профессионального вызова и не считают материальную мотивацию фактором эффективности своей работы</w:t>
            </w:r>
          </w:p>
          <w:p w:rsidR="00773E2C" w:rsidRDefault="00805665">
            <w:pPr>
              <w:widowControl w:val="0"/>
              <w:autoSpaceDE w:val="0"/>
              <w:autoSpaceDN w:val="0"/>
              <w:adjustRightInd w:val="0"/>
              <w:jc w:val="both"/>
              <w:rPr>
                <w:sz w:val="20"/>
                <w:szCs w:val="20"/>
              </w:rPr>
            </w:pPr>
            <w:r>
              <w:rPr>
                <w:rFonts w:eastAsia="Times New Roman"/>
                <w:sz w:val="20"/>
                <w:szCs w:val="20"/>
              </w:rPr>
              <w:t>Вопрос о выплате вознаграждения членам Наблюдательного совета с учетом рыночной практики будет рассмотрен при подготовке к проведению годового собрания акционеров Банка в 2026 году.</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lastRenderedPageBreak/>
              <w:t>4.1.2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Политика общества по вознаграждению разработана комитетом по вознаграждениям и утверждена советом директоров общества. Совет директоров при поддержке комитета по вознаграждениям обеспечивает контроль за внедрением и реализацией в обществе политики по вознаграждению, а при необходимости - пересматривает и вносит в нее коррективы</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В течение отчетного периода комитет по вознаграждениям рассмотрел политику (политики) по вознаграждениям и (или) практику ее (их) внедрения, осуществил оценку их эффективности и прозрачности и при необходимости представил соответствующие рекомендации совету директоров по пересмотру указанной политики (политик).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4.1.3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 xml:space="preserve">Политика общества по вознаграждению содержит прозрачные механизмы определения размера вознаграждения членов совета директоров, исполнительных органов и иных ключевых руководящих работников общества, а также </w:t>
            </w:r>
            <w:r>
              <w:rPr>
                <w:sz w:val="20"/>
                <w:szCs w:val="20"/>
              </w:rPr>
              <w:lastRenderedPageBreak/>
              <w:t>регламентирует все виды выплат, льгот и привилегий, предоставляемых указанным лицам</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lastRenderedPageBreak/>
              <w:t>1. Политика (политики) общества по вознаграждению содержит (содержат) прозрачные механизмы определения размера вознаграждения членов совета директоров, исполнительных органов и иных ключевых руководящих работников общества, а также регламентирует (регламентируют) все виды выплат, льгот и привилегий, предоставляемых указанным лицам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4.1.4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Общество определяет политику возмещения расходов (компенсаций), конкретизирующую перечень расходов, подлежащих возмещению, и уровень обслуживания, на который могут претендовать члены совета директоров, исполнительные органы и иные ключевые руководящие работники общества. Такая политика может быть составной частью политики общества по вознаграждению</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В политике (политиках) по вознаграждению или в иных внутренних документах общества установлены правила возмещения расходов членов совета директоров, исполнительных органов и иных ключевых руководящих работников общества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4.2</w:t>
            </w:r>
          </w:p>
        </w:tc>
        <w:tc>
          <w:tcPr>
            <w:tcW w:w="14176" w:type="dxa"/>
            <w:gridSpan w:val="4"/>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Система вознаграждения членов совета директоров обеспечивает сближение финансовых интересов директоров с долгосрочными финансовыми интересами акционеров</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4.2.1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Общество выплачивает фиксированное годовое вознаграждение членам совета директоров. Общество не выплачивает вознаграждение за участие в отдельных заседаниях совета или комитетов совета директоров.</w:t>
            </w:r>
          </w:p>
          <w:p w:rsidR="00773E2C" w:rsidRDefault="00805665">
            <w:pPr>
              <w:widowControl w:val="0"/>
              <w:autoSpaceDE w:val="0"/>
              <w:autoSpaceDN w:val="0"/>
              <w:adjustRightInd w:val="0"/>
              <w:jc w:val="both"/>
              <w:rPr>
                <w:sz w:val="20"/>
                <w:szCs w:val="20"/>
              </w:rPr>
            </w:pPr>
            <w:r>
              <w:rPr>
                <w:sz w:val="20"/>
                <w:szCs w:val="20"/>
              </w:rPr>
              <w:t>Общество не применяет формы краткосрочной мотивации и дополнительного материального стимулирования в отношении членов совета директоров</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В отчетном периоде общество выплачивало вознаграждение членам совета директоров в соответствии с принятой в обществе политикой по вознаграждению.</w:t>
            </w:r>
          </w:p>
          <w:p w:rsidR="00773E2C" w:rsidRDefault="00805665">
            <w:pPr>
              <w:widowControl w:val="0"/>
              <w:autoSpaceDE w:val="0"/>
              <w:autoSpaceDN w:val="0"/>
              <w:adjustRightInd w:val="0"/>
              <w:jc w:val="both"/>
              <w:rPr>
                <w:sz w:val="20"/>
                <w:szCs w:val="20"/>
              </w:rPr>
            </w:pPr>
            <w:r>
              <w:rPr>
                <w:sz w:val="20"/>
                <w:szCs w:val="20"/>
              </w:rPr>
              <w:t>2. В отчетном периоде обществом в отношении членов совета директоров не применялись формы краткосрочной мотивации, дополнительного материального стимулирования, выплата которого зависит от результатов (показателей) деятельности общества. Выплата вознаграждения за участие в отдельных заседаниях совета или комитетов совета директоров не осуществлялась</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color w:val="000000" w:themeColor="text1"/>
                <w:sz w:val="20"/>
                <w:szCs w:val="20"/>
              </w:rPr>
            </w:pPr>
            <w:r>
              <w:rPr>
                <w:color w:val="000000" w:themeColor="text1"/>
                <w:sz w:val="20"/>
                <w:szCs w:val="20"/>
              </w:rPr>
              <w:t>частично 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pStyle w:val="af8"/>
              <w:jc w:val="both"/>
              <w:rPr>
                <w:color w:val="000000" w:themeColor="text1"/>
                <w:lang w:eastAsia="en-US"/>
              </w:rPr>
            </w:pPr>
            <w:r>
              <w:rPr>
                <w:color w:val="000000" w:themeColor="text1"/>
                <w:lang w:eastAsia="en-US"/>
              </w:rPr>
              <w:t>Критерий 1 соблюдается частично.</w:t>
            </w:r>
          </w:p>
          <w:p w:rsidR="00773E2C" w:rsidRDefault="00805665">
            <w:pPr>
              <w:pStyle w:val="af8"/>
              <w:jc w:val="both"/>
              <w:rPr>
                <w:color w:val="000000" w:themeColor="text1"/>
                <w:lang w:eastAsia="en-US"/>
              </w:rPr>
            </w:pPr>
            <w:r>
              <w:rPr>
                <w:color w:val="000000" w:themeColor="text1"/>
                <w:lang w:eastAsia="en-US"/>
              </w:rPr>
              <w:t>Порядок выплаты вознаграждения членам Наблюдательного совета определен Положением о вознаграждениях и компенсациях, выплачиваемых членам Наблюдательного совета ПАО «БАНК УРАЛСИБ». В соответствии с указанным Положением, Банк не выплачивает вознаграждение членам Наблюдательного совета за участие в отдельных заседаниях совета или комитетов Наблюдательного совета. Банк не применяет формы краткосрочной мотивации и дополнительного материального стимулирования в отношении членов Наблюдательного совета. Вознаграждение членам Наблюдательного совета, и его размер определяются решением Общего собрания акционеров.</w:t>
            </w:r>
          </w:p>
          <w:p w:rsidR="00773E2C" w:rsidRDefault="00805665">
            <w:pPr>
              <w:pStyle w:val="af8"/>
              <w:jc w:val="both"/>
              <w:rPr>
                <w:color w:val="000000" w:themeColor="text1"/>
              </w:rPr>
            </w:pPr>
            <w:r>
              <w:rPr>
                <w:color w:val="000000" w:themeColor="text1"/>
                <w:lang w:eastAsia="en-US"/>
              </w:rPr>
              <w:t>Общее собрание акционеров в 2025 году решений о выплате членам Наблюдательного совета вознаграждения и (или) компенсации расходов, связанных с исполнением ими функций членов Наблюдательного совета, в соответствии рекомендацией Наблюдательного совета, не принимало.</w:t>
            </w:r>
            <w:r>
              <w:rPr>
                <w:color w:val="000000" w:themeColor="text1"/>
              </w:rPr>
              <w:t xml:space="preserve"> Решение Наблюдательного совета о рекомендациях Общему собранию </w:t>
            </w:r>
            <w:r>
              <w:rPr>
                <w:color w:val="000000" w:themeColor="text1"/>
              </w:rPr>
              <w:lastRenderedPageBreak/>
              <w:t>акционеров по вознаграждению членов Наблюдательного совета принято Наблюдательным советом при подготовке к годовому заседанию Общего собрания акционеров в 2025 году.</w:t>
            </w:r>
          </w:p>
          <w:p w:rsidR="00773E2C" w:rsidRDefault="00805665">
            <w:pPr>
              <w:pStyle w:val="af8"/>
              <w:jc w:val="both"/>
              <w:rPr>
                <w:color w:val="000000" w:themeColor="text1"/>
                <w:lang w:eastAsia="en-US"/>
              </w:rPr>
            </w:pPr>
            <w:r>
              <w:rPr>
                <w:rFonts w:eastAsia="Times New Roman"/>
              </w:rPr>
              <w:t>Вопрос о выплате вознаграждения членам Наблюдательного совета с учетом рыночной практики будет рассмотрен при подготовке к проведению годового собрания акционеров Банка в 2026 году.</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lastRenderedPageBreak/>
              <w:t>4.2.2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Долгосрочное владение акциями общества в наибольшей степени способствует сближению финансовых интересов членов совета директоров с долгосрочными интересами акционеров. При этом общество не обуславливает права реализации акций достижением определенных показателей деятельности, а члены совета директоров не участвуют в опционных программах</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Если внутренний документ (документы) - политика (политики) по вознаграждению общества - предусматривает (предусматривают) предоставление акций общества членам совета директоров, должны быть предусмотрены и раскрыты четкие правила владения акциями членами совета директоров, нацеленные на стимулирование долгосрочного владения такими акциями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jc w:val="both"/>
              <w:rPr>
                <w:strike/>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4.2.3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В обществе не предусмотрены какие-либо дополнительные выплаты или компенсации в случае досрочного прекращения полномочий членов совета директоров в связи с переходом контроля над обществом или иными обстоятельствами</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В обществе не предусмотрены какие-либо дополнительные выплаты или компенсации в случае досрочного прекращения полномочий членов совета директоров в связи с переходом контроля над обществом или иными обстоятельствами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4.3</w:t>
            </w:r>
          </w:p>
        </w:tc>
        <w:tc>
          <w:tcPr>
            <w:tcW w:w="14176" w:type="dxa"/>
            <w:gridSpan w:val="4"/>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Система вознаграждения членов исполнительных органов и иных ключевых руководящих работников общества предусматривает зависимость вознаграждения от результата работы общества и их личного вклада в достижение этого результата</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4.3.1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 xml:space="preserve">Вознаграждение членов исполнительных органов и иных ключевых руководящих работников общества определяется таким образом, </w:t>
            </w:r>
            <w:r>
              <w:rPr>
                <w:sz w:val="20"/>
                <w:szCs w:val="20"/>
              </w:rPr>
              <w:lastRenderedPageBreak/>
              <w:t>чтобы обеспечивать разумное и обоснованное соотношение фиксированной части вознаграждения и переменной части вознаграждения, зависящей от результатов работы общества и личного (индивидуального) вклада работника в конечный результат</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lastRenderedPageBreak/>
              <w:t xml:space="preserve">1. В течение отчетного периода одобренные советом директоров годовые показатели эффективности использовались при определении размера переменного вознаграждения членов исполнительных </w:t>
            </w:r>
            <w:r>
              <w:rPr>
                <w:sz w:val="20"/>
                <w:szCs w:val="20"/>
              </w:rPr>
              <w:lastRenderedPageBreak/>
              <w:t>органов и иных ключевых руководящих работников общества.</w:t>
            </w:r>
          </w:p>
          <w:p w:rsidR="00773E2C" w:rsidRDefault="00805665">
            <w:pPr>
              <w:widowControl w:val="0"/>
              <w:autoSpaceDE w:val="0"/>
              <w:autoSpaceDN w:val="0"/>
              <w:adjustRightInd w:val="0"/>
              <w:jc w:val="both"/>
              <w:rPr>
                <w:sz w:val="20"/>
                <w:szCs w:val="20"/>
              </w:rPr>
            </w:pPr>
            <w:r>
              <w:rPr>
                <w:sz w:val="20"/>
                <w:szCs w:val="20"/>
              </w:rPr>
              <w:t>2. В ходе последней проведенной оценки системы вознаграждения членов исполнительных органов и иных ключевых руководящих работников общества совет директоров (комитет по вознаграждениям) удостоверился в том, что в обществе применяется эффективное соотношение фиксированной части вознаграждения и переменной части вознаграждения.</w:t>
            </w:r>
          </w:p>
          <w:p w:rsidR="00773E2C" w:rsidRDefault="00805665">
            <w:pPr>
              <w:widowControl w:val="0"/>
              <w:autoSpaceDE w:val="0"/>
              <w:autoSpaceDN w:val="0"/>
              <w:adjustRightInd w:val="0"/>
              <w:jc w:val="both"/>
              <w:rPr>
                <w:sz w:val="20"/>
                <w:szCs w:val="20"/>
              </w:rPr>
            </w:pPr>
            <w:r>
              <w:rPr>
                <w:sz w:val="20"/>
                <w:szCs w:val="20"/>
              </w:rPr>
              <w:t>3. При определении размера выплачиваемого вознаграждения членам исполнительных органов и иным ключевым руководящим работникам общества учитываются риски, которое несет общество, с тем чтобы избежать создания стимулов к принятию чрезмерно рискованных управленческих решений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lastRenderedPageBreak/>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4.3.2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Общество внедрило программу долгосрочной мотивации членов исполнительных органов и иных ключевых руководящих работников общества с использованием акций общества (опционов или других производных финансовых инструментов, базисным активом по которым являются акции общества)</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В случае, если общество внедрило программу долгосрочной мотивации для членов исполнительных органов и иных ключевых руководящих работников общества с использованием акций общества (финансовых инструментов, основанных на акциях общества), программа предусматривает, что право реализации таких акций и иных финансовых инструментов наступает не ранее чем через три года с момента их предоставления. При этом право их реализации обусловлено достижением определенных показателей деятельности общества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не 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 xml:space="preserve">Программа долгосрочной мотивации членов исполнительных органов и иных ключевых руководящих работников не предполагает использования акций Банка или основанных на них финансовых инструментов. </w:t>
            </w:r>
            <w:r>
              <w:rPr>
                <w:color w:val="000000" w:themeColor="text1"/>
                <w:sz w:val="20"/>
                <w:szCs w:val="20"/>
              </w:rPr>
              <w:t>В свободном обращении находится очень незначительный объем акций Банка, поэтому использование такой системы премирования может сильно исказить котировки акций, а для менеджмента создать стимулы к манипуляции. В связи с этим у Банка отсутствуют какие-либо планы по внедрению такой программы с использованием акций Банка или основанных на них финансовых инструментов</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4.3.3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 xml:space="preserve">Сумма компенсации ("золотой парашют"), выплачиваемая обществом в случае досрочного прекращения полномочий членам исполнительных органов или ключевых руководящих работников по инициативе общества и при </w:t>
            </w:r>
            <w:r>
              <w:rPr>
                <w:sz w:val="20"/>
                <w:szCs w:val="20"/>
              </w:rPr>
              <w:lastRenderedPageBreak/>
              <w:t>отсутствии с их стороны недобросовестных действий, не превышает двукратного размера фиксированной части годового вознаграждения</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lastRenderedPageBreak/>
              <w:t xml:space="preserve">1. Сумма компенсации («золотой парашют»), выплачиваемая обществом в случае досрочного прекращения полномочий членам исполнительных органов или ключевым руководящим работникам по инициативе общества и при отсутствии с их стороны недобросовестных действий, в отчетном периоде не превышала двукратного размера фиксированной части годового </w:t>
            </w:r>
            <w:r>
              <w:rPr>
                <w:sz w:val="20"/>
                <w:szCs w:val="20"/>
              </w:rPr>
              <w:lastRenderedPageBreak/>
              <w:t>вознаграждения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lastRenderedPageBreak/>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jc w:val="both"/>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5.1</w:t>
            </w:r>
          </w:p>
        </w:tc>
        <w:tc>
          <w:tcPr>
            <w:tcW w:w="14176" w:type="dxa"/>
            <w:gridSpan w:val="4"/>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В обществе создана эффективно функционирующая система управления рисками и внутреннего контроля, направленная на обеспечение разумной уверенности в достижении поставленных перед обществом целей</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5.1.1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Советом директоров общества определены принципы и подходы к организации системы управления рисками и внутреннего контроля в обществе</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Функции различных органов управления и подразделений общества в системе управления рисками и внутреннего контроля четко определены во внутренних документах/соответствующей политике общества, одобренной советом директоров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5.1.2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Исполнительные органы общества обеспечивают создание и поддержание функционирования эффективной системы управления рисками и внутреннего контроля в обществе</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Исполнительные органы общества обеспечили распределение обязанностей, полномочий, ответственности в области управления рисками и внутреннего контроля между подотчетными им руководителями (начальниками) подразделений и отделов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lang w:val="en-US"/>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5.1.3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Система управления рисками и внутреннего контроля в обществе обеспечивает объективное, справедливое и ясное представление о текущем состоянии и перспективах общества, целостность и прозрачность отчетности общества, разумность и приемлемость принимаемых обществом рисков</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В обществе утверждена антикоррупционная политика.</w:t>
            </w:r>
          </w:p>
          <w:p w:rsidR="00773E2C" w:rsidRDefault="00805665">
            <w:pPr>
              <w:widowControl w:val="0"/>
              <w:autoSpaceDE w:val="0"/>
              <w:autoSpaceDN w:val="0"/>
              <w:adjustRightInd w:val="0"/>
              <w:jc w:val="both"/>
              <w:rPr>
                <w:sz w:val="20"/>
                <w:szCs w:val="20"/>
              </w:rPr>
            </w:pPr>
            <w:r>
              <w:rPr>
                <w:sz w:val="20"/>
                <w:szCs w:val="20"/>
              </w:rPr>
              <w:t>2. В обществе организован безопасный, конфиденциальный и доступный способ (горячая линия) информирования совета директоров или комитета совета директоров по аудиту о фактах нарушения законодательства, внутренних процедур, кодекса этики общества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5.1.4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 xml:space="preserve">Совет директоров общества предпринимает необходимые меры для того, чтобы убедиться, что действующая в </w:t>
            </w:r>
            <w:r>
              <w:rPr>
                <w:sz w:val="20"/>
                <w:szCs w:val="20"/>
              </w:rPr>
              <w:lastRenderedPageBreak/>
              <w:t>обществе система управления рисками и внутреннего контроля соответствует определенным советом директоров принципам и подходам к ее организации и эффективно функционирует</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lastRenderedPageBreak/>
              <w:t xml:space="preserve">1. В течение отчетного периода совет директоров (комитет по аудиту и (или) комитет по рискам (при наличии) организовал проведение оценки надежности и </w:t>
            </w:r>
            <w:r>
              <w:rPr>
                <w:sz w:val="20"/>
                <w:szCs w:val="20"/>
              </w:rPr>
              <w:lastRenderedPageBreak/>
              <w:t>эффективности системы управления рисками и внутреннего контроля.</w:t>
            </w:r>
          </w:p>
          <w:p w:rsidR="00773E2C" w:rsidRDefault="00805665">
            <w:pPr>
              <w:widowControl w:val="0"/>
              <w:autoSpaceDE w:val="0"/>
              <w:autoSpaceDN w:val="0"/>
              <w:adjustRightInd w:val="0"/>
              <w:jc w:val="both"/>
              <w:rPr>
                <w:sz w:val="20"/>
                <w:szCs w:val="20"/>
              </w:rPr>
            </w:pPr>
            <w:r>
              <w:rPr>
                <w:sz w:val="20"/>
                <w:szCs w:val="20"/>
              </w:rPr>
              <w:t>2. В отчетном периоде совет директоров рассмотрел результаты оценки надежности и эффективности системы управления рисками и внутреннего контроля общества и сведения о результатах рассмотрения включены в состав годового отчета общества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lastRenderedPageBreak/>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5.2</w:t>
            </w:r>
          </w:p>
        </w:tc>
        <w:tc>
          <w:tcPr>
            <w:tcW w:w="14176" w:type="dxa"/>
            <w:gridSpan w:val="4"/>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Для систематической независимой оценки надежности и эффективности системы управления рисками и внутреннего контроля, и практики корпоративного управления общество организовывает проведение внутреннего аудита</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5.2.1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Для проведения внутреннего аудита в обществе создано отдельное структурное подразделение или привлечена независимая внешняя организация. Функциональная и административная подотчетность подразделения внутреннего аудита разграничены. Функционально подразделение внутреннего аудита подчиняется совету директоров</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Для проведения внутреннего аудита в обществе создано отдельное структурное подразделение внутреннего аудита, функционально подотчетное совету директоров, или привлечена независимая внешняя организация с тем же принципом подотчетности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jc w:val="both"/>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5.2.2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Подразделение внутреннего аудита проводит оценку надежности и эффективности системы управления рисками и внутреннего контроля, а также оценку корпоративного управления, применяет общепринятые стандарты деятельности в области внутреннего аудита</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В отчетном периоде в рамках проведения внутреннего аудита дана оценка надежности и эффективности системы управления рисками и внутреннего контроля.</w:t>
            </w:r>
          </w:p>
          <w:p w:rsidR="00773E2C" w:rsidRDefault="00805665">
            <w:pPr>
              <w:widowControl w:val="0"/>
              <w:autoSpaceDE w:val="0"/>
              <w:autoSpaceDN w:val="0"/>
              <w:adjustRightInd w:val="0"/>
              <w:jc w:val="both"/>
              <w:rPr>
                <w:sz w:val="20"/>
                <w:szCs w:val="20"/>
              </w:rPr>
            </w:pPr>
            <w:r>
              <w:rPr>
                <w:sz w:val="20"/>
                <w:szCs w:val="20"/>
              </w:rPr>
              <w:t>2. В отчетном периоде в рамках проведения внутреннего аудита дана оценка практики (отдельных практик) корпоративного управления, включая процедуры информационного взаимодействия (в том числе по вопросам внутреннего контроля и управления рисками) на всех уровнях управления общества, а также взаимодействия с заинтересованными лицами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6.1</w:t>
            </w:r>
          </w:p>
        </w:tc>
        <w:tc>
          <w:tcPr>
            <w:tcW w:w="14176" w:type="dxa"/>
            <w:gridSpan w:val="4"/>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Общество и его деятельность являются прозрачными для акционеров, инвесторов и иных заинтересованных лиц</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lastRenderedPageBreak/>
              <w:t>6.1.1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В обществе разработана и внедрена информационная политика, обеспечивающая эффективное информационное взаимодействие общества, акционеров, инвесторов и иных заинтересованных лиц</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Советом директоров общества утверждена информационная политика общества, разработанная с учетом рекомендаций Кодекса.</w:t>
            </w:r>
          </w:p>
          <w:p w:rsidR="00773E2C" w:rsidRDefault="00805665">
            <w:pPr>
              <w:widowControl w:val="0"/>
              <w:autoSpaceDE w:val="0"/>
              <w:autoSpaceDN w:val="0"/>
              <w:adjustRightInd w:val="0"/>
              <w:jc w:val="both"/>
              <w:rPr>
                <w:sz w:val="20"/>
                <w:szCs w:val="20"/>
              </w:rPr>
            </w:pPr>
            <w:r>
              <w:rPr>
                <w:sz w:val="20"/>
                <w:szCs w:val="20"/>
              </w:rPr>
              <w:t>2. В течение отчетного периода совет директоров (или один из его комитетов) рассмотрел вопрос об эффективности информационного взаимодействия общества, акционеров, инвесторов и иных заинтересованных лиц и целесообразности (необходимости) пересмотра информационной политики общества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6.1.2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Общество раскрывает информацию о системе и практике корпоративного управления, включая подробную информацию о соблюдении принципов и рекомендаций Кодекса</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Общество раскрывает информацию о системе корпоративного управления в обществе и общих принципах корпоративного управления, применяемых в обществе, в том числе на сайте общества в сети Интернет.</w:t>
            </w:r>
          </w:p>
          <w:p w:rsidR="00773E2C" w:rsidRDefault="00805665">
            <w:pPr>
              <w:widowControl w:val="0"/>
              <w:autoSpaceDE w:val="0"/>
              <w:autoSpaceDN w:val="0"/>
              <w:adjustRightInd w:val="0"/>
              <w:jc w:val="both"/>
              <w:rPr>
                <w:sz w:val="20"/>
                <w:szCs w:val="20"/>
              </w:rPr>
            </w:pPr>
            <w:r>
              <w:rPr>
                <w:sz w:val="20"/>
                <w:szCs w:val="20"/>
              </w:rPr>
              <w:t>2. Общество раскрывает информацию о составе исполнительных органов и совета директоров, независимости членов совета и их членстве в комитетах совета директоров (в соответствии с определением Кодекса).</w:t>
            </w:r>
          </w:p>
          <w:p w:rsidR="00773E2C" w:rsidRDefault="00805665">
            <w:pPr>
              <w:widowControl w:val="0"/>
              <w:autoSpaceDE w:val="0"/>
              <w:autoSpaceDN w:val="0"/>
              <w:adjustRightInd w:val="0"/>
              <w:jc w:val="both"/>
              <w:rPr>
                <w:sz w:val="20"/>
                <w:szCs w:val="20"/>
              </w:rPr>
            </w:pPr>
            <w:r>
              <w:rPr>
                <w:sz w:val="20"/>
                <w:szCs w:val="20"/>
              </w:rPr>
              <w:t>3. В случае наличия лица, контролирующего общество, общество публикует меморандум контролирующего лица относительно планов такого лица в отношении корпоративного управления в обществе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color w:val="000000" w:themeColor="text1"/>
                <w:sz w:val="20"/>
                <w:szCs w:val="20"/>
                <w:lang w:eastAsia="en-US"/>
              </w:rPr>
            </w:pPr>
            <w:r>
              <w:rPr>
                <w:color w:val="000000" w:themeColor="text1"/>
                <w:sz w:val="20"/>
                <w:szCs w:val="20"/>
                <w:lang w:eastAsia="en-US"/>
              </w:rPr>
              <w:t>частично 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jc w:val="both"/>
              <w:rPr>
                <w:color w:val="000000" w:themeColor="text1"/>
                <w:sz w:val="20"/>
                <w:szCs w:val="20"/>
                <w:lang w:eastAsia="en-US"/>
              </w:rPr>
            </w:pPr>
            <w:r>
              <w:rPr>
                <w:color w:val="000000" w:themeColor="text1"/>
                <w:sz w:val="20"/>
                <w:szCs w:val="20"/>
                <w:lang w:eastAsia="en-US"/>
              </w:rPr>
              <w:t>Критерий 2 не соблюдается.</w:t>
            </w:r>
          </w:p>
          <w:p w:rsidR="00773E2C" w:rsidRDefault="00805665">
            <w:pPr>
              <w:jc w:val="both"/>
              <w:rPr>
                <w:color w:val="000000" w:themeColor="text1"/>
                <w:sz w:val="20"/>
                <w:szCs w:val="20"/>
                <w:lang w:eastAsia="en-US"/>
              </w:rPr>
            </w:pPr>
            <w:r>
              <w:rPr>
                <w:color w:val="000000" w:themeColor="text1"/>
                <w:sz w:val="20"/>
                <w:szCs w:val="20"/>
                <w:lang w:eastAsia="en-US"/>
              </w:rPr>
              <w:t>В связи с решением Совета Директоров Банка России от 24.12.2024 года Банк в 2025 году не раскрывал информацию о составе исполнительных органов и Наблюдательного совета, независимости членов Наблюдательного совета и их членстве в комитетах Наблюдательного совета. В связи с решением Совета Директоров Банка России от 19.12.2025 года Банк не планирует раскрытие данной информации и в 2026 году.</w:t>
            </w:r>
          </w:p>
          <w:p w:rsidR="00773E2C" w:rsidRDefault="00805665">
            <w:pPr>
              <w:jc w:val="both"/>
              <w:rPr>
                <w:color w:val="000000" w:themeColor="text1"/>
                <w:sz w:val="20"/>
                <w:szCs w:val="20"/>
                <w:lang w:eastAsia="en-US"/>
              </w:rPr>
            </w:pPr>
            <w:r>
              <w:rPr>
                <w:color w:val="000000" w:themeColor="text1"/>
                <w:sz w:val="20"/>
                <w:szCs w:val="20"/>
                <w:lang w:eastAsia="en-US"/>
              </w:rPr>
              <w:t>Критерий 3 не соблюдается.</w:t>
            </w:r>
          </w:p>
          <w:p w:rsidR="00773E2C" w:rsidRDefault="00805665">
            <w:pPr>
              <w:widowControl w:val="0"/>
              <w:autoSpaceDE w:val="0"/>
              <w:autoSpaceDN w:val="0"/>
              <w:adjustRightInd w:val="0"/>
              <w:jc w:val="both"/>
              <w:rPr>
                <w:color w:val="000000" w:themeColor="text1"/>
                <w:sz w:val="20"/>
                <w:szCs w:val="20"/>
                <w:lang w:eastAsia="en-US"/>
              </w:rPr>
            </w:pPr>
            <w:r>
              <w:rPr>
                <w:color w:val="000000" w:themeColor="text1"/>
                <w:sz w:val="20"/>
                <w:szCs w:val="20"/>
                <w:lang w:eastAsia="en-US"/>
              </w:rPr>
              <w:t>Меморандум лица, контролирующего Банк, будет опубликован в случае его подготовки</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6.2</w:t>
            </w:r>
          </w:p>
        </w:tc>
        <w:tc>
          <w:tcPr>
            <w:tcW w:w="14176" w:type="dxa"/>
            <w:gridSpan w:val="4"/>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Общество своевременно раскрывает полную, актуальную и достоверную информацию об обществе для обеспечения возможности принятия обоснованных решений акционерами общества и инвесторами</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6.2.1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Общество раскрывает информацию в соответствии с принципами регулярности, последовательности и оперативности, а также доступности, достоверности, полноты и сравнимости раскрываемых данных</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В обществе определена процедура, обеспечивающая координацию работы всех структурных подразделений и работников общества, связанных с раскрытием информации или деятельность которых может привести к необходимости раскрытия информации.</w:t>
            </w:r>
          </w:p>
          <w:p w:rsidR="00773E2C" w:rsidRDefault="00805665">
            <w:pPr>
              <w:widowControl w:val="0"/>
              <w:autoSpaceDE w:val="0"/>
              <w:autoSpaceDN w:val="0"/>
              <w:adjustRightInd w:val="0"/>
              <w:jc w:val="both"/>
              <w:rPr>
                <w:sz w:val="20"/>
                <w:szCs w:val="20"/>
              </w:rPr>
            </w:pPr>
            <w:r>
              <w:rPr>
                <w:sz w:val="20"/>
                <w:szCs w:val="20"/>
              </w:rPr>
              <w:t xml:space="preserve">2. В случае если ценные бумаги общества обращаются на иностранных организованных рынках, раскрытие существенной информации в Российской Федерации и на таких рынках </w:t>
            </w:r>
            <w:r>
              <w:rPr>
                <w:sz w:val="20"/>
                <w:szCs w:val="20"/>
              </w:rPr>
              <w:lastRenderedPageBreak/>
              <w:t>осуществляется синхронно и эквивалентно в течение отчетного года.</w:t>
            </w:r>
          </w:p>
          <w:p w:rsidR="00773E2C" w:rsidRDefault="00805665">
            <w:pPr>
              <w:widowControl w:val="0"/>
              <w:autoSpaceDE w:val="0"/>
              <w:autoSpaceDN w:val="0"/>
              <w:adjustRightInd w:val="0"/>
              <w:jc w:val="both"/>
              <w:rPr>
                <w:sz w:val="20"/>
                <w:szCs w:val="20"/>
              </w:rPr>
            </w:pPr>
            <w:r>
              <w:rPr>
                <w:sz w:val="20"/>
                <w:szCs w:val="20"/>
              </w:rPr>
              <w:t>3. Если иностранные акционеры владеют существенным количеством акций общества, то в течение отчетного года раскрытие информации осуществлялось не только на русском, но также на одном из наиболее распространенных иностранных языков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lastRenderedPageBreak/>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6.2.2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Общество избегает формального подхода при раскрытии информации и раскрывает существенную информацию о своей деятельности, даже если раскрытие такой информации не предусмотрено законодательством</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color w:val="000000" w:themeColor="text1"/>
                <w:sz w:val="20"/>
                <w:szCs w:val="20"/>
              </w:rPr>
            </w:pPr>
            <w:r>
              <w:rPr>
                <w:color w:val="000000" w:themeColor="text1"/>
                <w:sz w:val="20"/>
                <w:szCs w:val="20"/>
              </w:rPr>
              <w:t>1. В информационной политике общества определены подходы к раскрытию сведений об иных событиях (действиях), оказывающих существенное влияние на стоимость или котировки его ценных бумаг, раскрытие сведений о которых не предусмотрено законодательством.</w:t>
            </w:r>
          </w:p>
          <w:p w:rsidR="00773E2C" w:rsidRDefault="00805665">
            <w:pPr>
              <w:widowControl w:val="0"/>
              <w:autoSpaceDE w:val="0"/>
              <w:autoSpaceDN w:val="0"/>
              <w:adjustRightInd w:val="0"/>
              <w:jc w:val="both"/>
              <w:rPr>
                <w:color w:val="000000" w:themeColor="text1"/>
                <w:sz w:val="20"/>
                <w:szCs w:val="20"/>
              </w:rPr>
            </w:pPr>
            <w:r>
              <w:rPr>
                <w:color w:val="000000" w:themeColor="text1"/>
                <w:sz w:val="20"/>
                <w:szCs w:val="20"/>
              </w:rPr>
              <w:t>2. Общество раскрывает информацию о структуре капитала общества в соответствии с рекомендацией 290 Кодекса в годовом отчете и на сайте общества в сети Интернет.</w:t>
            </w:r>
          </w:p>
          <w:p w:rsidR="00773E2C" w:rsidRDefault="00805665">
            <w:pPr>
              <w:widowControl w:val="0"/>
              <w:autoSpaceDE w:val="0"/>
              <w:autoSpaceDN w:val="0"/>
              <w:adjustRightInd w:val="0"/>
              <w:jc w:val="both"/>
              <w:rPr>
                <w:color w:val="000000" w:themeColor="text1"/>
                <w:sz w:val="20"/>
                <w:szCs w:val="20"/>
              </w:rPr>
            </w:pPr>
            <w:r>
              <w:rPr>
                <w:color w:val="000000" w:themeColor="text1"/>
                <w:sz w:val="20"/>
                <w:szCs w:val="20"/>
              </w:rPr>
              <w:t>3. Общество раскрывает информацию о подконтрольных организациях, имеющих для него существенное значение, в том числе о ключевых направлениях их деятельности, о механизмах, обеспечивающих подотчетность подконтрольных организаций, полномочиях совета директоров общества в отношении определения стратегии и оценки результатов деятельности подконтрольных организаций.</w:t>
            </w:r>
          </w:p>
          <w:p w:rsidR="00773E2C" w:rsidRDefault="00805665">
            <w:pPr>
              <w:widowControl w:val="0"/>
              <w:autoSpaceDE w:val="0"/>
              <w:autoSpaceDN w:val="0"/>
              <w:adjustRightInd w:val="0"/>
              <w:jc w:val="both"/>
              <w:rPr>
                <w:color w:val="000000" w:themeColor="text1"/>
                <w:sz w:val="20"/>
                <w:szCs w:val="20"/>
              </w:rPr>
            </w:pPr>
            <w:r>
              <w:rPr>
                <w:color w:val="000000" w:themeColor="text1"/>
                <w:sz w:val="20"/>
                <w:szCs w:val="20"/>
              </w:rPr>
              <w:t>4. Общество раскрывает нефинансовый отчет - отчет об устойчивом развитии, экологический отчет, отчет о корпоративной социальной ответственности или иной отчет, содержащий нефинансовую информацию, в том числе о факторах, связанных с окружающей средой (в том числе экологические факторы и факторы, связанные с изменением климата), обществом (социальные факторы) и корпоративным управлением, за исключением отчета эмитента эмиссионных ценных бумаг и годового отчета акционерного общества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color w:val="000000" w:themeColor="text1"/>
                <w:sz w:val="20"/>
                <w:szCs w:val="20"/>
              </w:rPr>
            </w:pPr>
            <w:r>
              <w:rPr>
                <w:color w:val="000000" w:themeColor="text1"/>
                <w:sz w:val="20"/>
                <w:szCs w:val="20"/>
              </w:rPr>
              <w:t>частично 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color w:val="000000" w:themeColor="text1"/>
                <w:sz w:val="20"/>
                <w:szCs w:val="20"/>
              </w:rPr>
            </w:pPr>
            <w:r>
              <w:rPr>
                <w:color w:val="000000" w:themeColor="text1"/>
                <w:sz w:val="20"/>
                <w:szCs w:val="20"/>
              </w:rPr>
              <w:t>Критерий 2, 3 не соблюдаются.</w:t>
            </w:r>
          </w:p>
          <w:p w:rsidR="00773E2C" w:rsidRDefault="00805665">
            <w:pPr>
              <w:widowControl w:val="0"/>
              <w:autoSpaceDE w:val="0"/>
              <w:autoSpaceDN w:val="0"/>
              <w:adjustRightInd w:val="0"/>
              <w:jc w:val="both"/>
              <w:rPr>
                <w:color w:val="000000" w:themeColor="text1"/>
                <w:sz w:val="20"/>
                <w:szCs w:val="20"/>
              </w:rPr>
            </w:pPr>
            <w:r>
              <w:rPr>
                <w:color w:val="000000" w:themeColor="text1"/>
                <w:sz w:val="20"/>
                <w:szCs w:val="20"/>
              </w:rPr>
              <w:t xml:space="preserve">Информация о структуре капитала Банка, о подконтрольных организациях, имеющих для Банка существенное значение включается Банком в годовые отчеты. </w:t>
            </w:r>
          </w:p>
          <w:p w:rsidR="00773E2C" w:rsidRDefault="00805665">
            <w:pPr>
              <w:widowControl w:val="0"/>
              <w:autoSpaceDE w:val="0"/>
              <w:autoSpaceDN w:val="0"/>
              <w:adjustRightInd w:val="0"/>
              <w:jc w:val="both"/>
              <w:rPr>
                <w:rFonts w:eastAsiaTheme="minorHAnsi"/>
                <w:color w:val="000000" w:themeColor="text1"/>
                <w:sz w:val="20"/>
                <w:szCs w:val="20"/>
                <w:lang w:eastAsia="en-US"/>
              </w:rPr>
            </w:pPr>
            <w:r>
              <w:rPr>
                <w:rFonts w:cstheme="minorHAnsi"/>
                <w:color w:val="000000" w:themeColor="text1"/>
                <w:sz w:val="20"/>
                <w:szCs w:val="20"/>
              </w:rPr>
              <w:t>В связи с введением в отношении Банка иностранными государствами мер ограничительного характера</w:t>
            </w:r>
            <w:r>
              <w:rPr>
                <w:color w:val="000000" w:themeColor="text1"/>
                <w:sz w:val="20"/>
                <w:szCs w:val="20"/>
              </w:rPr>
              <w:t xml:space="preserve"> в соответствии с </w:t>
            </w:r>
            <w:r>
              <w:rPr>
                <w:rFonts w:eastAsiaTheme="minorHAnsi"/>
                <w:color w:val="000000" w:themeColor="text1"/>
                <w:sz w:val="20"/>
                <w:szCs w:val="20"/>
                <w:lang w:eastAsia="en-US"/>
              </w:rPr>
              <w:t>Постановлением Правительства РФ от 04.07.2023 №1102 «Об особенностях раскрытия и (или) предоставления информации, подлежащей раскрытию и (или) предоставлению в соответствии с требованиями Федерального закона «Об акционерных обществах» и Федерального закона «О рынке ценных бумаг» в 2025 году Банк при раскрытии Годового отчета за 2024 год не раскрывал указанную информацию.</w:t>
            </w:r>
          </w:p>
          <w:p w:rsidR="00773E2C" w:rsidRDefault="00805665">
            <w:pPr>
              <w:widowControl w:val="0"/>
              <w:autoSpaceDE w:val="0"/>
              <w:autoSpaceDN w:val="0"/>
              <w:adjustRightInd w:val="0"/>
              <w:jc w:val="both"/>
              <w:rPr>
                <w:color w:val="7030A0"/>
                <w:sz w:val="20"/>
                <w:szCs w:val="20"/>
              </w:rPr>
            </w:pPr>
            <w:r>
              <w:rPr>
                <w:rFonts w:eastAsiaTheme="minorHAnsi"/>
                <w:color w:val="000000" w:themeColor="text1"/>
                <w:sz w:val="20"/>
                <w:szCs w:val="20"/>
                <w:lang w:eastAsia="en-US"/>
              </w:rPr>
              <w:t>Банк возобновит раскрытие и предоставление информации в полном объеме в случае прекращения всех введенных в отношении Банка ограничительных мер и исключения риска введения указанных мер в отношении него и (или) иных лиц иностранными государствами</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6.2.3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 xml:space="preserve">Годовой отчет, являясь одним </w:t>
            </w:r>
            <w:r>
              <w:rPr>
                <w:sz w:val="20"/>
                <w:szCs w:val="20"/>
              </w:rPr>
              <w:lastRenderedPageBreak/>
              <w:t>из наиболее важных инструментов информационного взаимодействия с акционерами и другими заинтересованными сторонами, содержит информацию, позволяющую оценить итоги деятельности общества за год</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lastRenderedPageBreak/>
              <w:t xml:space="preserve">1. Годовой отчет общества содержит </w:t>
            </w:r>
            <w:r>
              <w:rPr>
                <w:sz w:val="20"/>
                <w:szCs w:val="20"/>
              </w:rPr>
              <w:lastRenderedPageBreak/>
              <w:t>информацию о результатах оценки комитетом по аудиту эффективности процесса проведения внешнего и внутреннего аудита.</w:t>
            </w:r>
          </w:p>
          <w:p w:rsidR="00773E2C" w:rsidRDefault="00805665">
            <w:pPr>
              <w:widowControl w:val="0"/>
              <w:autoSpaceDE w:val="0"/>
              <w:autoSpaceDN w:val="0"/>
              <w:adjustRightInd w:val="0"/>
              <w:jc w:val="both"/>
              <w:rPr>
                <w:sz w:val="20"/>
                <w:szCs w:val="20"/>
              </w:rPr>
            </w:pPr>
            <w:r>
              <w:rPr>
                <w:sz w:val="20"/>
                <w:szCs w:val="20"/>
              </w:rPr>
              <w:t>2. Годовой отчет общества содержит сведения о политике общества в области охраны окружающей среды, социальной политике общества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lastRenderedPageBreak/>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6.3</w:t>
            </w:r>
          </w:p>
        </w:tc>
        <w:tc>
          <w:tcPr>
            <w:tcW w:w="14176" w:type="dxa"/>
            <w:gridSpan w:val="4"/>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Общество предоставляет информацию и документы по запросам акционеров в соответствии с принципами равнодоступности и необременительности</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6.3.1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Реализация акционерами права на доступ к документам и информации общества не сопряжена с неоправданными сложностями</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В информационной политике (внутренних документах, определяющих информационную политику) общества определен необременительный порядок предоставления по запросам акционеров доступа к информации и документам общества.</w:t>
            </w:r>
          </w:p>
          <w:p w:rsidR="00773E2C" w:rsidRDefault="00805665">
            <w:pPr>
              <w:widowControl w:val="0"/>
              <w:autoSpaceDE w:val="0"/>
              <w:autoSpaceDN w:val="0"/>
              <w:adjustRightInd w:val="0"/>
              <w:jc w:val="both"/>
              <w:rPr>
                <w:sz w:val="20"/>
                <w:szCs w:val="20"/>
              </w:rPr>
            </w:pPr>
            <w:r>
              <w:rPr>
                <w:sz w:val="20"/>
                <w:szCs w:val="20"/>
              </w:rPr>
              <w:t>2. В информационной политике (внутренних документах, определяющих информационную политику) содержатся положения, предусматривающие, что в случае поступления запроса акционера о предоставлении информации о подконтрольных обществу организациях общество предпринимает необходимые усилия для получения такой информации у соответствующих подконтрольных обществу организаций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jc w:val="both"/>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6.3.2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 xml:space="preserve">При предоставлении обществом информации акционерам обеспечивается разумный баланс между интересами конкретных акционеров и интересами самого общества, заинтересованного в сохранении конфиденциальности важной коммерческой информации, которая может оказать </w:t>
            </w:r>
            <w:r>
              <w:rPr>
                <w:sz w:val="20"/>
                <w:szCs w:val="20"/>
              </w:rPr>
              <w:lastRenderedPageBreak/>
              <w:t>существенное влияние на его конкурентоспособность</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lastRenderedPageBreak/>
              <w:t>1. В течение отчетного периода общество не отказывало в удовлетворении запросов акционеров о предоставлении информации либо такие отказы были обоснованными.</w:t>
            </w:r>
          </w:p>
          <w:p w:rsidR="00773E2C" w:rsidRDefault="00805665">
            <w:pPr>
              <w:widowControl w:val="0"/>
              <w:autoSpaceDE w:val="0"/>
              <w:autoSpaceDN w:val="0"/>
              <w:adjustRightInd w:val="0"/>
              <w:jc w:val="both"/>
              <w:rPr>
                <w:sz w:val="20"/>
                <w:szCs w:val="20"/>
              </w:rPr>
            </w:pPr>
            <w:r>
              <w:rPr>
                <w:sz w:val="20"/>
                <w:szCs w:val="20"/>
              </w:rPr>
              <w:t>2. В случаях, определенных информационной политикой общества, акционеры предупреждаются о конфиденциальном характере информации и принимают на себя обязанность по сохранению ее конфиденциальности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7.1</w:t>
            </w:r>
          </w:p>
        </w:tc>
        <w:tc>
          <w:tcPr>
            <w:tcW w:w="14176" w:type="dxa"/>
            <w:gridSpan w:val="4"/>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Действия, которые в значительной степени влияют или могут повлиять на структуру акционерного капитала и финансовое состояние общества и, соответственно, на положение акционеров (существенные корпоративные действия), осуществляются на справедливых условиях, обеспечивающих соблюдение прав и интересов акционеров, а также иных заинтересованных сторон</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7.1.1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 xml:space="preserve">Существенными корпоративными действиями признаются реорганизация общества, приобретение 30 и более процентов голосующих акций общества (поглощение), совершение обществом существенных сделок, увеличение или уменьшение уставного капитала общества, осуществление листинга и </w:t>
            </w:r>
            <w:proofErr w:type="spellStart"/>
            <w:r>
              <w:rPr>
                <w:sz w:val="20"/>
                <w:szCs w:val="20"/>
              </w:rPr>
              <w:t>делистинга</w:t>
            </w:r>
            <w:proofErr w:type="spellEnd"/>
            <w:r>
              <w:rPr>
                <w:sz w:val="20"/>
                <w:szCs w:val="20"/>
              </w:rPr>
              <w:t xml:space="preserve"> акций общества, а также иные действия, которые могут привести к существенному изменению прав акционеров или нарушению их интересов. Уставом общества определен перечень (критерии) сделок или иных действий, являющихся существенными корпоративными действиями, и такие действия отнесены к компетенции совета директоров общества</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Уставом общества определен перечень (критерии) сделок или иных действий, являющихся существенными корпоративными действиями. Принятие решений в отношении существенных корпоративных действий уставом общества отнесено к компетенции совета директоров. В тех случаях, когда осуществление данных корпоративных действий прямо отнесено законодательством к компетенции общего собрания акционеров, совет директоров предоставляет акционерам соответствующие рекомендации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color w:val="000000" w:themeColor="text1"/>
                <w:sz w:val="20"/>
                <w:szCs w:val="20"/>
              </w:rPr>
            </w:pPr>
            <w:r>
              <w:rPr>
                <w:color w:val="000000" w:themeColor="text1"/>
                <w:sz w:val="20"/>
                <w:szCs w:val="20"/>
              </w:rPr>
              <w:t>частично 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color w:val="000000" w:themeColor="text1"/>
                <w:sz w:val="20"/>
                <w:szCs w:val="20"/>
              </w:rPr>
            </w:pPr>
            <w:r>
              <w:rPr>
                <w:color w:val="000000" w:themeColor="text1"/>
                <w:sz w:val="20"/>
                <w:szCs w:val="20"/>
                <w:lang w:eastAsia="en-US"/>
              </w:rPr>
              <w:t xml:space="preserve">Перечень существенных корпоративных действий Уставом Банка не определен. Решения по таким действиям, признаваемым Кодексом корпоративного управления Банка существенными корпоративными действиями, принимаются в соответствии с нормами действующего законодательства Российской Федерации, а также Положения о Наблюдательном совете Банка. </w:t>
            </w:r>
            <w:r>
              <w:rPr>
                <w:color w:val="000000" w:themeColor="text1"/>
                <w:sz w:val="20"/>
                <w:szCs w:val="20"/>
              </w:rPr>
              <w:t xml:space="preserve">Банк считает, что </w:t>
            </w:r>
            <w:r>
              <w:rPr>
                <w:color w:val="000000" w:themeColor="text1"/>
                <w:sz w:val="20"/>
                <w:szCs w:val="20"/>
                <w:lang w:eastAsia="en-US"/>
              </w:rPr>
              <w:t>установленный порядок одобрения сделок, обеспечивает надежную защиту прав акционеров Банка. В тех случаях, когда осуществление данных корпоративных действий прямо отнесено законодательством Российской Федерации к компетенции общего собрания акционеров, Наблюдательный совет предоставляет акционерам соответствующие рекомендации. Планы по пересмотру данного подхода у Банка отсутствуют</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7.1.2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Совет директоров играет ключевую роль в принятии решений или выработке рекомендаций в отношении существенных корпоративных действий, совет директоров опирается на позицию независимых директоров общества</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В обществе предусмотрена процедура, в соответствии с которой независимые директора заявляют о своей позиции по существенным корпоративным действиям до их одобрения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jc w:val="both"/>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lastRenderedPageBreak/>
              <w:t>7.1.3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При совершении существенных корпоративных действий, затрагивающих права и законные интересы акционеров, обеспечиваются равные условия для всех акционеров общества, а при недостаточности предусмотренных законодательством механизмов, направленных на защиту прав акционеров, - дополнительные меры, защищающие права и законные интересы акционеров общества.</w:t>
            </w:r>
          </w:p>
          <w:p w:rsidR="00773E2C" w:rsidRDefault="00805665">
            <w:pPr>
              <w:widowControl w:val="0"/>
              <w:autoSpaceDE w:val="0"/>
              <w:autoSpaceDN w:val="0"/>
              <w:adjustRightInd w:val="0"/>
              <w:rPr>
                <w:sz w:val="20"/>
                <w:szCs w:val="20"/>
              </w:rPr>
            </w:pPr>
            <w:r>
              <w:rPr>
                <w:sz w:val="20"/>
                <w:szCs w:val="20"/>
              </w:rPr>
              <w:t>При этом общество руководствуется не только соблюдением формальных требований законодательства, но и принципами корпоративного управления, изложенными в Кодексе</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Уставом общества с учетом особенностей его деятельности к компетенции совета директоров отнесено одобрение, помимо предусмотренных законодательством, иных сделок, имеющих существенное значение для общества.</w:t>
            </w:r>
          </w:p>
          <w:p w:rsidR="00773E2C" w:rsidRDefault="00805665">
            <w:pPr>
              <w:widowControl w:val="0"/>
              <w:autoSpaceDE w:val="0"/>
              <w:autoSpaceDN w:val="0"/>
              <w:adjustRightInd w:val="0"/>
              <w:jc w:val="both"/>
              <w:rPr>
                <w:sz w:val="20"/>
                <w:szCs w:val="20"/>
              </w:rPr>
            </w:pPr>
            <w:r>
              <w:rPr>
                <w:sz w:val="20"/>
                <w:szCs w:val="20"/>
              </w:rPr>
              <w:t>2. В течение отчетного периода все существенные корпоративные действия проходили процедуру одобрения до их осуществления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частично 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Критерий 1 не соблюдается.</w:t>
            </w:r>
          </w:p>
          <w:p w:rsidR="00773E2C" w:rsidRDefault="00805665">
            <w:pPr>
              <w:widowControl w:val="0"/>
              <w:autoSpaceDE w:val="0"/>
              <w:autoSpaceDN w:val="0"/>
              <w:adjustRightInd w:val="0"/>
              <w:jc w:val="both"/>
              <w:rPr>
                <w:sz w:val="20"/>
                <w:szCs w:val="20"/>
              </w:rPr>
            </w:pPr>
            <w:r>
              <w:rPr>
                <w:sz w:val="20"/>
                <w:szCs w:val="20"/>
              </w:rPr>
              <w:t>Уставом Банка не предусмотрено отнесение к компетенции Наблюдательного совета одобрение, помимо предусмотренных законодательством Российской Федерации, иных сделок, имеющих существенное значение для Банка. Включение таких положений в Устав не планируется</w:t>
            </w:r>
          </w:p>
        </w:tc>
      </w:tr>
      <w:tr w:rsidR="00773E2C">
        <w:trPr>
          <w:trHeight w:val="504"/>
        </w:trPr>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7.2</w:t>
            </w:r>
          </w:p>
        </w:tc>
        <w:tc>
          <w:tcPr>
            <w:tcW w:w="14176" w:type="dxa"/>
            <w:gridSpan w:val="4"/>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Общество обеспечивает такой порядок совершения существенных корпоративных действий, который позволяет акционерам своевременно получать полную информацию о таких действиях, обеспечивает им возможность влиять на совершение таких действий и гарантирует соблюдение и адекватный уровень защиты их прав при совершении таких действий</w:t>
            </w: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7.2.1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Информация о совершении существенных корпоративных действий раскрывается с объяснением причин, условий и последствий совершения таких действий</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1. В случае, если обществом в течение отчетного периода совершались существенные корпоративные действия, общество своевременно и детально раскрывало информацию о таких действиях, в том числе о причинах, условиях совершения действий и последствиях таких действий для акционеров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773E2C">
            <w:pPr>
              <w:widowControl w:val="0"/>
              <w:autoSpaceDE w:val="0"/>
              <w:autoSpaceDN w:val="0"/>
              <w:adjustRightInd w:val="0"/>
              <w:rPr>
                <w:sz w:val="20"/>
                <w:szCs w:val="20"/>
              </w:rPr>
            </w:pPr>
          </w:p>
        </w:tc>
      </w:tr>
      <w:tr w:rsidR="00773E2C">
        <w:tc>
          <w:tcPr>
            <w:tcW w:w="56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t>7.2.2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t xml:space="preserve">Правила и процедуры, связанные с осуществлением обществом существенных корпоративных действий, </w:t>
            </w:r>
            <w:r>
              <w:rPr>
                <w:sz w:val="20"/>
                <w:szCs w:val="20"/>
              </w:rPr>
              <w:lastRenderedPageBreak/>
              <w:t>закреплены во внутренних документах общества</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jc w:val="both"/>
              <w:rPr>
                <w:sz w:val="20"/>
                <w:szCs w:val="20"/>
              </w:rPr>
            </w:pPr>
            <w:r>
              <w:rPr>
                <w:sz w:val="20"/>
                <w:szCs w:val="20"/>
              </w:rPr>
              <w:lastRenderedPageBreak/>
              <w:t xml:space="preserve">1. Во внутренних документах общества определены случаи и порядок привлечения оценщика для определения стоимости имущества, отчуждаемого или </w:t>
            </w:r>
            <w:r>
              <w:rPr>
                <w:sz w:val="20"/>
                <w:szCs w:val="20"/>
              </w:rPr>
              <w:lastRenderedPageBreak/>
              <w:t>приобретаемого по крупной сделке или сделке с заинтересованностью.</w:t>
            </w:r>
          </w:p>
          <w:p w:rsidR="00773E2C" w:rsidRDefault="00805665">
            <w:pPr>
              <w:widowControl w:val="0"/>
              <w:autoSpaceDE w:val="0"/>
              <w:autoSpaceDN w:val="0"/>
              <w:adjustRightInd w:val="0"/>
              <w:jc w:val="both"/>
              <w:rPr>
                <w:color w:val="000000" w:themeColor="text1"/>
                <w:sz w:val="20"/>
                <w:szCs w:val="20"/>
              </w:rPr>
            </w:pPr>
            <w:r>
              <w:rPr>
                <w:sz w:val="20"/>
                <w:szCs w:val="20"/>
              </w:rPr>
              <w:t xml:space="preserve">2. Внутренние документы общества </w:t>
            </w:r>
            <w:r>
              <w:rPr>
                <w:color w:val="000000" w:themeColor="text1"/>
                <w:sz w:val="20"/>
                <w:szCs w:val="20"/>
              </w:rPr>
              <w:t xml:space="preserve">предусматривают процедуру привлечения оценщика для оценки стоимости приобретения и выкупа акций общества. </w:t>
            </w:r>
          </w:p>
          <w:p w:rsidR="00773E2C" w:rsidRDefault="00805665">
            <w:pPr>
              <w:widowControl w:val="0"/>
              <w:autoSpaceDE w:val="0"/>
              <w:autoSpaceDN w:val="0"/>
              <w:adjustRightInd w:val="0"/>
              <w:jc w:val="both"/>
              <w:rPr>
                <w:sz w:val="20"/>
                <w:szCs w:val="20"/>
              </w:rPr>
            </w:pPr>
            <w:r>
              <w:rPr>
                <w:color w:val="000000" w:themeColor="text1"/>
                <w:sz w:val="20"/>
                <w:szCs w:val="20"/>
              </w:rPr>
              <w:t xml:space="preserve">3. При отсутствии формальной заинтересованности члена совета </w:t>
            </w:r>
            <w:r>
              <w:rPr>
                <w:sz w:val="20"/>
                <w:szCs w:val="20"/>
              </w:rPr>
              <w:t>директоров, единоличного исполнительного органа, члена коллегиального исполнительного органа общества или лица, являющегося контролирующим лицом общества, либо лица, имеющего право давать обществу обязательные для него указания, в сделках общества, но при наличии конфликта интересов или иной их фактической заинтересованности, внутренними документами общества предусмотрено, что такие лица не принимают участия в голосовании по вопросу одобрения такой сделки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widowControl w:val="0"/>
              <w:autoSpaceDE w:val="0"/>
              <w:autoSpaceDN w:val="0"/>
              <w:adjustRightInd w:val="0"/>
              <w:rPr>
                <w:sz w:val="20"/>
                <w:szCs w:val="20"/>
              </w:rPr>
            </w:pPr>
            <w:r>
              <w:rPr>
                <w:sz w:val="20"/>
                <w:szCs w:val="20"/>
              </w:rPr>
              <w:lastRenderedPageBreak/>
              <w:t>частично соблюдается</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773E2C" w:rsidRDefault="00805665">
            <w:pPr>
              <w:rPr>
                <w:sz w:val="20"/>
                <w:szCs w:val="20"/>
                <w:lang w:eastAsia="en-US"/>
              </w:rPr>
            </w:pPr>
            <w:r>
              <w:rPr>
                <w:sz w:val="20"/>
                <w:szCs w:val="20"/>
                <w:lang w:eastAsia="en-US"/>
              </w:rPr>
              <w:t>Критерий 1 и 2 не соблюдаются.</w:t>
            </w:r>
          </w:p>
          <w:p w:rsidR="00773E2C" w:rsidRDefault="00805665">
            <w:pPr>
              <w:widowControl w:val="0"/>
              <w:autoSpaceDE w:val="0"/>
              <w:autoSpaceDN w:val="0"/>
              <w:adjustRightInd w:val="0"/>
              <w:jc w:val="both"/>
              <w:rPr>
                <w:sz w:val="20"/>
                <w:szCs w:val="20"/>
                <w:lang w:eastAsia="en-US"/>
              </w:rPr>
            </w:pPr>
            <w:r>
              <w:rPr>
                <w:sz w:val="20"/>
                <w:szCs w:val="20"/>
                <w:lang w:eastAsia="en-US"/>
              </w:rPr>
              <w:t xml:space="preserve">Привлечение независимого оценщика осуществляется Банком во всех случаях, предусмотренных требованиями действующего законодательства Российской Федерации, что по мнению Банка </w:t>
            </w:r>
            <w:r>
              <w:rPr>
                <w:sz w:val="20"/>
                <w:szCs w:val="20"/>
                <w:lang w:eastAsia="en-US"/>
              </w:rPr>
              <w:lastRenderedPageBreak/>
              <w:t>обеспечивает надежную защиту прав акционеров Банка. При этом отбор контрагента - независимого оценщика осуществляется в соответствии с внутренними процедурами Банка</w:t>
            </w:r>
          </w:p>
        </w:tc>
      </w:tr>
    </w:tbl>
    <w:p w:rsidR="00773E2C" w:rsidRDefault="00773E2C">
      <w:pPr>
        <w:widowControl w:val="0"/>
        <w:autoSpaceDE w:val="0"/>
        <w:autoSpaceDN w:val="0"/>
        <w:adjustRightInd w:val="0"/>
      </w:pPr>
    </w:p>
    <w:sectPr w:rsidR="00773E2C">
      <w:pgSz w:w="16838" w:h="11906" w:orient="landscape"/>
      <w:pgMar w:top="851" w:right="1134" w:bottom="851"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5BD49" w16cex:dateUtc="2026-05-06T10:14:00Z"/>
  <w16cex:commentExtensible w16cex:durableId="2DA5BD99" w16cex:dateUtc="2026-05-06T10: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4FC" w:rsidRDefault="009404FC">
      <w:r>
        <w:separator/>
      </w:r>
    </w:p>
  </w:endnote>
  <w:endnote w:type="continuationSeparator" w:id="0">
    <w:p w:rsidR="009404FC" w:rsidRDefault="00940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ultant">
    <w:altName w:val="Courier New"/>
    <w:charset w:val="00"/>
    <w:family w:val="modern"/>
    <w:pitch w:val="fixed"/>
    <w:sig w:usb0="00000203" w:usb1="00000000" w:usb2="00000000" w:usb3="00000000" w:csb0="00000005"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PragmaticaC">
    <w:altName w:val="Courier New"/>
    <w:panose1 w:val="00000000000000000000"/>
    <w:charset w:val="00"/>
    <w:family w:val="decorative"/>
    <w:notTrueType/>
    <w:pitch w:val="variable"/>
    <w:sig w:usb0="00000203" w:usb1="00000000" w:usb2="00000000" w:usb3="00000000" w:csb0="00000005" w:csb1="00000000"/>
  </w:font>
  <w:font w:name="Palatino Linotype">
    <w:panose1 w:val="02040502050505030304"/>
    <w:charset w:val="CC"/>
    <w:family w:val="roman"/>
    <w:pitch w:val="variable"/>
    <w:sig w:usb0="E0000287" w:usb1="40000013" w:usb2="00000000" w:usb3="00000000" w:csb0="0000019F" w:csb1="00000000"/>
  </w:font>
  <w:font w:name="Times">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808" w:rsidRDefault="00A87808">
    <w:pPr>
      <w:pStyle w:val="aff6"/>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A87808" w:rsidRDefault="00A87808">
    <w:pPr>
      <w:pStyle w:val="af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808" w:rsidRDefault="00A87808">
    <w:pPr>
      <w:pStyle w:val="aff6"/>
      <w:framePr w:wrap="around" w:vAnchor="text" w:hAnchor="margin" w:xAlign="right" w:y="1"/>
      <w:rPr>
        <w:rStyle w:val="af"/>
        <w:sz w:val="20"/>
        <w:szCs w:val="20"/>
      </w:rPr>
    </w:pPr>
    <w:r>
      <w:rPr>
        <w:rStyle w:val="af"/>
        <w:sz w:val="20"/>
        <w:szCs w:val="20"/>
      </w:rPr>
      <w:fldChar w:fldCharType="begin"/>
    </w:r>
    <w:r>
      <w:rPr>
        <w:rStyle w:val="af"/>
        <w:sz w:val="20"/>
        <w:szCs w:val="20"/>
      </w:rPr>
      <w:instrText xml:space="preserve">PAGE  </w:instrText>
    </w:r>
    <w:r>
      <w:rPr>
        <w:rStyle w:val="af"/>
        <w:sz w:val="20"/>
        <w:szCs w:val="20"/>
      </w:rPr>
      <w:fldChar w:fldCharType="separate"/>
    </w:r>
    <w:r w:rsidR="00723A64">
      <w:rPr>
        <w:rStyle w:val="af"/>
        <w:noProof/>
        <w:sz w:val="20"/>
        <w:szCs w:val="20"/>
      </w:rPr>
      <w:t>42</w:t>
    </w:r>
    <w:r>
      <w:rPr>
        <w:rStyle w:val="af"/>
        <w:sz w:val="20"/>
        <w:szCs w:val="20"/>
      </w:rPr>
      <w:fldChar w:fldCharType="end"/>
    </w:r>
  </w:p>
  <w:p w:rsidR="00A87808" w:rsidRDefault="00A87808">
    <w:pPr>
      <w:pStyle w:val="aff6"/>
      <w:ind w:right="360"/>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808" w:rsidRDefault="00A87808">
    <w:pPr>
      <w:pStyle w:val="aff6"/>
      <w:jc w:val="right"/>
    </w:pPr>
    <w:r>
      <w:fldChar w:fldCharType="begin"/>
    </w:r>
    <w:r>
      <w:instrText>PAGE   \* MERGEFORMAT</w:instrText>
    </w:r>
    <w:r>
      <w:fldChar w:fldCharType="separate"/>
    </w:r>
    <w:r w:rsidR="00723A6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4FC" w:rsidRDefault="009404FC">
      <w:r>
        <w:separator/>
      </w:r>
    </w:p>
  </w:footnote>
  <w:footnote w:type="continuationSeparator" w:id="0">
    <w:p w:rsidR="009404FC" w:rsidRDefault="009404FC">
      <w:r>
        <w:continuationSeparator/>
      </w:r>
    </w:p>
  </w:footnote>
  <w:footnote w:id="1">
    <w:p w:rsidR="00A87808" w:rsidRDefault="00A87808">
      <w:pPr>
        <w:pStyle w:val="aff8"/>
        <w:spacing w:after="0"/>
        <w:jc w:val="both"/>
        <w:rPr>
          <w:rFonts w:ascii="Times New Roman" w:hAnsi="Times New Roman"/>
          <w:sz w:val="16"/>
        </w:rPr>
      </w:pPr>
      <w:r>
        <w:rPr>
          <w:rStyle w:val="aa"/>
          <w:rFonts w:ascii="Times New Roman" w:hAnsi="Times New Roman"/>
          <w:sz w:val="16"/>
        </w:rPr>
        <w:footnoteRef/>
      </w:r>
      <w:r>
        <w:rPr>
          <w:rFonts w:ascii="Times New Roman" w:hAnsi="Times New Roman"/>
          <w:sz w:val="16"/>
        </w:rPr>
        <w:t xml:space="preserve"> Под существенными сделками Банка понимаются крупные сделки Банка, существенные для Банка сделки с заинтересованностью (существенность при этом определяет Банк), а также иные сделки, которые Банк признает для себя существенными.</w:t>
      </w:r>
    </w:p>
  </w:footnote>
  <w:footnote w:id="2">
    <w:p w:rsidR="00A87808" w:rsidRDefault="00A87808">
      <w:pPr>
        <w:pStyle w:val="afe"/>
        <w:tabs>
          <w:tab w:val="left" w:pos="708"/>
        </w:tabs>
        <w:ind w:left="0" w:firstLine="0"/>
        <w:jc w:val="both"/>
        <w:rPr>
          <w:sz w:val="16"/>
          <w:szCs w:val="16"/>
        </w:rPr>
      </w:pPr>
      <w:r>
        <w:rPr>
          <w:rStyle w:val="aa"/>
        </w:rPr>
        <w:footnoteRef/>
      </w:r>
      <w:r>
        <w:t xml:space="preserve"> Статус «соблюдается» указывается только в том случае, если корпоративная практика общества отвечает всем критериям соответствия принципа корпоративного управления, перечисленным </w:t>
      </w:r>
      <w:r>
        <w:rPr>
          <w:color w:val="000000" w:themeColor="text1"/>
        </w:rPr>
        <w:t xml:space="preserve">в третьем столбце Формы отчета о соблюдении принципов Кодекса. В случае, если принятая в обществе корпоративная практика отвечает лишь некоторым критериям соответствия или не отвечает ни одному из них, то в четвертом столбце Формы </w:t>
      </w:r>
      <w:r>
        <w:t>отчета о соблюдении принципов Кодекса указывается статус соответствия принципу Кодекса «частично соблюдается» или «не соблюдается» соответственно.</w:t>
      </w:r>
    </w:p>
  </w:footnote>
  <w:footnote w:id="3">
    <w:p w:rsidR="00A87808" w:rsidRDefault="00A87808">
      <w:pPr>
        <w:pStyle w:val="afe"/>
        <w:tabs>
          <w:tab w:val="left" w:pos="708"/>
        </w:tabs>
        <w:ind w:left="0" w:firstLine="0"/>
        <w:jc w:val="both"/>
      </w:pPr>
      <w:r>
        <w:rPr>
          <w:rStyle w:val="aa"/>
        </w:rPr>
        <w:footnoteRef/>
      </w:r>
      <w:r>
        <w:t xml:space="preserve"> Приводятся по каждому критерию оценки (критерию соответствия) принципа корпоративного управления в случае, если общество соответствует только части критериев или не соответствует ни одному критерию оценки соблюдения принципа.</w:t>
      </w:r>
    </w:p>
  </w:footnote>
  <w:footnote w:id="4">
    <w:p w:rsidR="00A87808" w:rsidRDefault="00A87808">
      <w:pPr>
        <w:pStyle w:val="afe"/>
        <w:tabs>
          <w:tab w:val="left" w:pos="708"/>
        </w:tabs>
        <w:ind w:left="0" w:firstLine="0"/>
        <w:jc w:val="both"/>
      </w:pPr>
      <w:r>
        <w:rPr>
          <w:rStyle w:val="aa"/>
        </w:rPr>
        <w:footnoteRef/>
      </w:r>
      <w:r>
        <w:t xml:space="preserve"> Далее по тексту - комитет по номинациям.</w:t>
      </w:r>
    </w:p>
  </w:footnote>
  <w:footnote w:id="5">
    <w:p w:rsidR="00A87808" w:rsidRDefault="00A87808">
      <w:pPr>
        <w:pStyle w:val="afe"/>
        <w:tabs>
          <w:tab w:val="left" w:pos="708"/>
        </w:tabs>
        <w:ind w:left="0" w:firstLine="0"/>
        <w:jc w:val="both"/>
      </w:pPr>
      <w:r>
        <w:rPr>
          <w:rStyle w:val="aa"/>
        </w:rPr>
        <w:footnoteRef/>
      </w:r>
      <w:r>
        <w:t xml:space="preserve"> Рекомендуется </w:t>
      </w:r>
      <w:r>
        <w:rPr>
          <w:color w:val="000000" w:themeColor="text1"/>
        </w:rPr>
        <w:t xml:space="preserve">в пятом столбце Формы отчета </w:t>
      </w:r>
      <w:r>
        <w:t>о соблюдении принципов Кодекса указать, какой из двух альтернативных подходов, допускаемых принципом, внедряется в обществе, и пояснить причины избранного подхода.</w:t>
      </w:r>
    </w:p>
  </w:footnote>
  <w:footnote w:id="6">
    <w:p w:rsidR="00A87808" w:rsidRDefault="00A87808">
      <w:pPr>
        <w:pStyle w:val="afe"/>
        <w:tabs>
          <w:tab w:val="left" w:pos="708"/>
        </w:tabs>
        <w:ind w:left="0" w:firstLine="0"/>
      </w:pPr>
      <w:r>
        <w:rPr>
          <w:vertAlign w:val="superscript"/>
        </w:rPr>
        <w:t xml:space="preserve">10 </w:t>
      </w:r>
      <w:r>
        <w:t>Если задачи комитета по номинациям реализуются в рамках иного комитета, указывается его название.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BEB240"/>
    <w:multiLevelType w:val="singleLevel"/>
    <w:tmpl w:val="92BEB240"/>
    <w:lvl w:ilvl="0">
      <w:start w:val="1"/>
      <w:numFmt w:val="decimal"/>
      <w:suff w:val="space"/>
      <w:lvlText w:val="%1)"/>
      <w:lvlJc w:val="left"/>
    </w:lvl>
  </w:abstractNum>
  <w:abstractNum w:abstractNumId="1" w15:restartNumberingAfterBreak="0">
    <w:nsid w:val="B339FF6C"/>
    <w:multiLevelType w:val="multilevel"/>
    <w:tmpl w:val="B339FF6C"/>
    <w:lvl w:ilvl="0">
      <w:start w:val="1"/>
      <w:numFmt w:val="none"/>
      <w:lvlText w:val="%1."/>
      <w:lvlJc w:val="left"/>
      <w:pPr>
        <w:tabs>
          <w:tab w:val="left" w:pos="720"/>
        </w:tabs>
        <w:ind w:left="720" w:hanging="360"/>
      </w:pPr>
      <w:rPr>
        <w:sz w:val="24"/>
        <w:szCs w:val="24"/>
      </w:rPr>
    </w:lvl>
    <w:lvl w:ilvl="1">
      <w:start w:val="1"/>
      <w:numFmt w:val="none"/>
      <w:lvlText w:val="%2."/>
      <w:lvlJc w:val="left"/>
      <w:pPr>
        <w:tabs>
          <w:tab w:val="left" w:pos="1440"/>
        </w:tabs>
        <w:ind w:left="1440" w:hanging="360"/>
      </w:pPr>
      <w:rPr>
        <w:sz w:val="24"/>
        <w:szCs w:val="24"/>
      </w:rPr>
    </w:lvl>
    <w:lvl w:ilvl="2">
      <w:start w:val="1"/>
      <w:numFmt w:val="none"/>
      <w:lvlText w:val="%3."/>
      <w:lvlJc w:val="left"/>
      <w:pPr>
        <w:tabs>
          <w:tab w:val="left" w:pos="2160"/>
        </w:tabs>
        <w:ind w:left="2160" w:hanging="360"/>
      </w:pPr>
      <w:rPr>
        <w:sz w:val="24"/>
        <w:szCs w:val="24"/>
      </w:rPr>
    </w:lvl>
    <w:lvl w:ilvl="3">
      <w:start w:val="1"/>
      <w:numFmt w:val="none"/>
      <w:lvlText w:val="%4."/>
      <w:lvlJc w:val="left"/>
      <w:pPr>
        <w:tabs>
          <w:tab w:val="left" w:pos="2500"/>
        </w:tabs>
        <w:ind w:left="2880" w:hanging="360"/>
      </w:pPr>
      <w:rPr>
        <w:sz w:val="24"/>
        <w:szCs w:val="24"/>
      </w:rPr>
    </w:lvl>
    <w:lvl w:ilvl="4">
      <w:start w:val="1"/>
      <w:numFmt w:val="none"/>
      <w:lvlText w:val="%5."/>
      <w:lvlJc w:val="left"/>
      <w:pPr>
        <w:tabs>
          <w:tab w:val="left" w:pos="3220"/>
        </w:tabs>
        <w:ind w:left="3600" w:hanging="360"/>
      </w:pPr>
      <w:rPr>
        <w:sz w:val="24"/>
        <w:szCs w:val="24"/>
      </w:rPr>
    </w:lvl>
    <w:lvl w:ilvl="5">
      <w:start w:val="1"/>
      <w:numFmt w:val="none"/>
      <w:lvlText w:val="%6."/>
      <w:lvlJc w:val="left"/>
      <w:pPr>
        <w:tabs>
          <w:tab w:val="left" w:pos="3940"/>
        </w:tabs>
        <w:ind w:left="4320" w:hanging="360"/>
      </w:pPr>
      <w:rPr>
        <w:sz w:val="24"/>
        <w:szCs w:val="24"/>
      </w:rPr>
    </w:lvl>
    <w:lvl w:ilvl="6">
      <w:start w:val="1"/>
      <w:numFmt w:val="none"/>
      <w:lvlText w:val="%7."/>
      <w:lvlJc w:val="left"/>
      <w:pPr>
        <w:tabs>
          <w:tab w:val="left" w:pos="4660"/>
        </w:tabs>
        <w:ind w:left="5040" w:hanging="360"/>
      </w:pPr>
      <w:rPr>
        <w:sz w:val="24"/>
        <w:szCs w:val="24"/>
      </w:rPr>
    </w:lvl>
    <w:lvl w:ilvl="7">
      <w:start w:val="1"/>
      <w:numFmt w:val="none"/>
      <w:lvlText w:val="%8."/>
      <w:lvlJc w:val="left"/>
      <w:pPr>
        <w:tabs>
          <w:tab w:val="left" w:pos="5380"/>
        </w:tabs>
        <w:ind w:left="5760" w:hanging="360"/>
      </w:pPr>
      <w:rPr>
        <w:sz w:val="24"/>
        <w:szCs w:val="24"/>
      </w:rPr>
    </w:lvl>
    <w:lvl w:ilvl="8">
      <w:start w:val="1"/>
      <w:numFmt w:val="none"/>
      <w:lvlText w:val="%9."/>
      <w:lvlJc w:val="left"/>
      <w:pPr>
        <w:tabs>
          <w:tab w:val="left" w:pos="6100"/>
        </w:tabs>
        <w:ind w:left="6480" w:hanging="360"/>
      </w:pPr>
      <w:rPr>
        <w:sz w:val="24"/>
        <w:szCs w:val="24"/>
      </w:rPr>
    </w:lvl>
  </w:abstractNum>
  <w:abstractNum w:abstractNumId="2" w15:restartNumberingAfterBreak="0">
    <w:nsid w:val="C10133C4"/>
    <w:multiLevelType w:val="singleLevel"/>
    <w:tmpl w:val="C10133C4"/>
    <w:lvl w:ilvl="0">
      <w:start w:val="1"/>
      <w:numFmt w:val="decimal"/>
      <w:suff w:val="space"/>
      <w:lvlText w:val="%1)"/>
      <w:lvlJc w:val="left"/>
    </w:lvl>
  </w:abstractNum>
  <w:abstractNum w:abstractNumId="3" w15:restartNumberingAfterBreak="0">
    <w:nsid w:val="FFFFFF7C"/>
    <w:multiLevelType w:val="singleLevel"/>
    <w:tmpl w:val="FFFFFF7C"/>
    <w:lvl w:ilvl="0">
      <w:start w:val="1"/>
      <w:numFmt w:val="decimal"/>
      <w:pStyle w:val="4"/>
      <w:lvlText w:val="%1."/>
      <w:lvlJc w:val="left"/>
      <w:pPr>
        <w:tabs>
          <w:tab w:val="left" w:pos="1492"/>
        </w:tabs>
        <w:ind w:left="1492" w:hanging="360"/>
      </w:pPr>
      <w:rPr>
        <w:rFonts w:cs="Times New Roman"/>
      </w:rPr>
    </w:lvl>
  </w:abstractNum>
  <w:abstractNum w:abstractNumId="4" w15:restartNumberingAfterBreak="0">
    <w:nsid w:val="FFFFFF7D"/>
    <w:multiLevelType w:val="singleLevel"/>
    <w:tmpl w:val="FFFFFF7D"/>
    <w:lvl w:ilvl="0">
      <w:start w:val="1"/>
      <w:numFmt w:val="decimal"/>
      <w:pStyle w:val="a"/>
      <w:lvlText w:val="%1."/>
      <w:lvlJc w:val="left"/>
      <w:pPr>
        <w:tabs>
          <w:tab w:val="left" w:pos="1209"/>
        </w:tabs>
        <w:ind w:left="1209" w:hanging="360"/>
      </w:pPr>
      <w:rPr>
        <w:rFonts w:cs="Times New Roman"/>
      </w:rPr>
    </w:lvl>
  </w:abstractNum>
  <w:abstractNum w:abstractNumId="5" w15:restartNumberingAfterBreak="0">
    <w:nsid w:val="FFFFFF7E"/>
    <w:multiLevelType w:val="singleLevel"/>
    <w:tmpl w:val="FFFFFF7E"/>
    <w:lvl w:ilvl="0">
      <w:start w:val="1"/>
      <w:numFmt w:val="decimal"/>
      <w:pStyle w:val="3"/>
      <w:lvlText w:val="%1."/>
      <w:lvlJc w:val="left"/>
      <w:pPr>
        <w:tabs>
          <w:tab w:val="left" w:pos="926"/>
        </w:tabs>
        <w:ind w:left="926" w:hanging="360"/>
      </w:pPr>
      <w:rPr>
        <w:rFonts w:cs="Times New Roman"/>
      </w:rPr>
    </w:lvl>
  </w:abstractNum>
  <w:abstractNum w:abstractNumId="6" w15:restartNumberingAfterBreak="0">
    <w:nsid w:val="FFFFFF7F"/>
    <w:multiLevelType w:val="singleLevel"/>
    <w:tmpl w:val="FFFFFF7F"/>
    <w:lvl w:ilvl="0">
      <w:start w:val="1"/>
      <w:numFmt w:val="decimal"/>
      <w:pStyle w:val="2"/>
      <w:lvlText w:val="%1."/>
      <w:lvlJc w:val="left"/>
      <w:pPr>
        <w:tabs>
          <w:tab w:val="left" w:pos="643"/>
        </w:tabs>
        <w:ind w:left="643" w:hanging="360"/>
      </w:pPr>
      <w:rPr>
        <w:rFonts w:cs="Times New Roman"/>
      </w:rPr>
    </w:lvl>
  </w:abstractNum>
  <w:abstractNum w:abstractNumId="7" w15:restartNumberingAfterBreak="0">
    <w:nsid w:val="FFFFFF81"/>
    <w:multiLevelType w:val="singleLevel"/>
    <w:tmpl w:val="FFFFFF81"/>
    <w:lvl w:ilvl="0">
      <w:start w:val="1"/>
      <w:numFmt w:val="bullet"/>
      <w:pStyle w:val="ConsNonformat"/>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Report"/>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ConsNormal"/>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a0"/>
      <w:lvlText w:val="%1."/>
      <w:lvlJc w:val="left"/>
      <w:pPr>
        <w:tabs>
          <w:tab w:val="left" w:pos="360"/>
        </w:tabs>
        <w:ind w:left="360" w:hanging="360"/>
      </w:pPr>
      <w:rPr>
        <w:rFonts w:cs="Times New Roman"/>
      </w:rPr>
    </w:lvl>
  </w:abstractNum>
  <w:abstractNum w:abstractNumId="11" w15:restartNumberingAfterBreak="0">
    <w:nsid w:val="FFFFFF89"/>
    <w:multiLevelType w:val="singleLevel"/>
    <w:tmpl w:val="FFFFFF89"/>
    <w:lvl w:ilvl="0">
      <w:start w:val="1"/>
      <w:numFmt w:val="bullet"/>
      <w:pStyle w:val="20"/>
      <w:lvlText w:val=""/>
      <w:lvlJc w:val="left"/>
      <w:pPr>
        <w:tabs>
          <w:tab w:val="left" w:pos="360"/>
        </w:tabs>
        <w:ind w:left="360" w:hanging="360"/>
      </w:pPr>
      <w:rPr>
        <w:rFonts w:ascii="Symbol" w:hAnsi="Symbol" w:hint="default"/>
      </w:rPr>
    </w:lvl>
  </w:abstractNum>
  <w:abstractNum w:abstractNumId="12" w15:restartNumberingAfterBreak="0">
    <w:nsid w:val="FFFFFFFE"/>
    <w:multiLevelType w:val="singleLevel"/>
    <w:tmpl w:val="FFFFFFFE"/>
    <w:lvl w:ilvl="0">
      <w:numFmt w:val="decimal"/>
      <w:pStyle w:val="5"/>
      <w:lvlText w:val="*"/>
      <w:lvlJc w:val="left"/>
      <w:rPr>
        <w:rFonts w:cs="Times New Roman"/>
      </w:rPr>
    </w:lvl>
  </w:abstractNum>
  <w:abstractNum w:abstractNumId="13" w15:restartNumberingAfterBreak="0">
    <w:nsid w:val="037F478B"/>
    <w:multiLevelType w:val="multilevel"/>
    <w:tmpl w:val="037F478B"/>
    <w:lvl w:ilvl="0">
      <w:start w:val="1"/>
      <w:numFmt w:val="decimal"/>
      <w:lvlText w:val="%1."/>
      <w:lvlJc w:val="left"/>
      <w:pPr>
        <w:tabs>
          <w:tab w:val="left" w:pos="720"/>
        </w:tabs>
        <w:ind w:left="720" w:hanging="360"/>
      </w:pPr>
    </w:lvl>
    <w:lvl w:ilvl="1">
      <w:start w:val="1"/>
      <w:numFmt w:val="lowerLetter"/>
      <w:pStyle w:val="a1"/>
      <w:lvlText w:val="%2."/>
      <w:lvlJc w:val="left"/>
      <w:pPr>
        <w:tabs>
          <w:tab w:val="left" w:pos="1440"/>
        </w:tabs>
        <w:ind w:left="1440" w:hanging="360"/>
      </w:pPr>
    </w:lvl>
    <w:lvl w:ilvl="2">
      <w:start w:val="1"/>
      <w:numFmt w:val="lowerRoman"/>
      <w:pStyle w:val="a2"/>
      <w:lvlText w:val="%3."/>
      <w:lvlJc w:val="right"/>
      <w:pPr>
        <w:tabs>
          <w:tab w:val="left" w:pos="2307"/>
        </w:tabs>
        <w:ind w:left="2307" w:hanging="180"/>
      </w:pPr>
    </w:lvl>
    <w:lvl w:ilvl="3">
      <w:start w:val="11"/>
      <w:numFmt w:val="bullet"/>
      <w:lvlText w:val="–"/>
      <w:lvlJc w:val="left"/>
      <w:pPr>
        <w:tabs>
          <w:tab w:val="left" w:pos="2880"/>
        </w:tabs>
        <w:ind w:left="2880" w:hanging="360"/>
      </w:pPr>
      <w:rPr>
        <w:rFonts w:ascii="Times New Roman" w:hAnsi="Times New Roman"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9519B2D"/>
    <w:multiLevelType w:val="multilevel"/>
    <w:tmpl w:val="19519B2D"/>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 w15:restartNumberingAfterBreak="0">
    <w:nsid w:val="26635412"/>
    <w:multiLevelType w:val="singleLevel"/>
    <w:tmpl w:val="26635412"/>
    <w:lvl w:ilvl="0">
      <w:start w:val="1"/>
      <w:numFmt w:val="decimal"/>
      <w:pStyle w:val="50"/>
      <w:lvlText w:val="%1."/>
      <w:lvlJc w:val="left"/>
      <w:pPr>
        <w:tabs>
          <w:tab w:val="left" w:pos="283"/>
        </w:tabs>
        <w:ind w:left="283" w:hanging="283"/>
      </w:pPr>
      <w:rPr>
        <w:rFonts w:cs="Times New Roman"/>
      </w:rPr>
    </w:lvl>
  </w:abstractNum>
  <w:abstractNum w:abstractNumId="16" w15:restartNumberingAfterBreak="0">
    <w:nsid w:val="294564A6"/>
    <w:multiLevelType w:val="multilevel"/>
    <w:tmpl w:val="294564A6"/>
    <w:lvl w:ilvl="0">
      <w:numFmt w:val="none"/>
      <w:pStyle w:val="AA1stlevelbullet"/>
      <w:lvlText w:val=""/>
      <w:lvlJc w:val="left"/>
      <w:pPr>
        <w:tabs>
          <w:tab w:val="left" w:pos="360"/>
        </w:tabs>
      </w:pPr>
      <w:rPr>
        <w:rFonts w:cs="Times New Roman"/>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9AB7D24"/>
    <w:multiLevelType w:val="multilevel"/>
    <w:tmpl w:val="29AB7D24"/>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8" w15:restartNumberingAfterBreak="0">
    <w:nsid w:val="3A297125"/>
    <w:multiLevelType w:val="singleLevel"/>
    <w:tmpl w:val="3A297125"/>
    <w:lvl w:ilvl="0">
      <w:start w:val="1"/>
      <w:numFmt w:val="bullet"/>
      <w:pStyle w:val="21"/>
      <w:lvlText w:val=""/>
      <w:lvlJc w:val="left"/>
      <w:pPr>
        <w:tabs>
          <w:tab w:val="left" w:pos="283"/>
        </w:tabs>
        <w:ind w:left="283" w:hanging="283"/>
      </w:pPr>
      <w:rPr>
        <w:rFonts w:ascii="Symbol" w:hAnsi="Symbol" w:hint="default"/>
      </w:rPr>
    </w:lvl>
  </w:abstractNum>
  <w:abstractNum w:abstractNumId="19" w15:restartNumberingAfterBreak="0">
    <w:nsid w:val="3AC71471"/>
    <w:multiLevelType w:val="multilevel"/>
    <w:tmpl w:val="3AC7147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 w15:restartNumberingAfterBreak="0">
    <w:nsid w:val="3F431FB7"/>
    <w:multiLevelType w:val="singleLevel"/>
    <w:tmpl w:val="3F431FB7"/>
    <w:lvl w:ilvl="0">
      <w:start w:val="1"/>
      <w:numFmt w:val="bullet"/>
      <w:pStyle w:val="30"/>
      <w:lvlText w:val=""/>
      <w:lvlJc w:val="left"/>
      <w:pPr>
        <w:tabs>
          <w:tab w:val="left" w:pos="283"/>
        </w:tabs>
        <w:ind w:left="283" w:hanging="283"/>
      </w:pPr>
      <w:rPr>
        <w:rFonts w:ascii="Symbol" w:hAnsi="Symbol" w:hint="default"/>
      </w:rPr>
    </w:lvl>
  </w:abstractNum>
  <w:abstractNum w:abstractNumId="21" w15:restartNumberingAfterBreak="0">
    <w:nsid w:val="4886048D"/>
    <w:multiLevelType w:val="multilevel"/>
    <w:tmpl w:val="4886048D"/>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2" w15:restartNumberingAfterBreak="0">
    <w:nsid w:val="4E031C0F"/>
    <w:multiLevelType w:val="multilevel"/>
    <w:tmpl w:val="4E031C0F"/>
    <w:lvl w:ilvl="0">
      <w:start w:val="1"/>
      <w:numFmt w:val="bullet"/>
      <w:lvlText w:val="­"/>
      <w:lvlJc w:val="left"/>
      <w:pPr>
        <w:ind w:left="1211" w:hanging="360"/>
      </w:pPr>
      <w:rPr>
        <w:rFonts w:ascii="Courier New" w:hAnsi="Courier New"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3" w15:restartNumberingAfterBreak="0">
    <w:nsid w:val="54C42765"/>
    <w:multiLevelType w:val="multilevel"/>
    <w:tmpl w:val="54C42765"/>
    <w:lvl w:ilvl="0">
      <w:start w:val="1"/>
      <w:numFmt w:val="bullet"/>
      <w:lvlText w:val="-"/>
      <w:lvlJc w:val="left"/>
      <w:pPr>
        <w:ind w:left="1211" w:hanging="360"/>
      </w:pPr>
      <w:rPr>
        <w:rFonts w:ascii="Courier New" w:hAnsi="Courier New" w:hint="default"/>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24" w15:restartNumberingAfterBreak="0">
    <w:nsid w:val="5A360987"/>
    <w:multiLevelType w:val="multilevel"/>
    <w:tmpl w:val="5A360987"/>
    <w:lvl w:ilvl="0">
      <w:start w:val="1"/>
      <w:numFmt w:val="bullet"/>
      <w:lvlText w:val=""/>
      <w:lvlJc w:val="left"/>
      <w:pPr>
        <w:ind w:left="1211" w:hanging="360"/>
      </w:pPr>
      <w:rPr>
        <w:rFonts w:ascii="Symbol" w:hAnsi="Symbol" w:hint="default"/>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25" w15:restartNumberingAfterBreak="0">
    <w:nsid w:val="5D695D2C"/>
    <w:multiLevelType w:val="multilevel"/>
    <w:tmpl w:val="5D695D2C"/>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6" w15:restartNumberingAfterBreak="0">
    <w:nsid w:val="625C2346"/>
    <w:multiLevelType w:val="multilevel"/>
    <w:tmpl w:val="625C2346"/>
    <w:lvl w:ilvl="0">
      <w:start w:val="1"/>
      <w:numFmt w:val="decimal"/>
      <w:isLgl/>
      <w:suff w:val="space"/>
      <w:lvlText w:val="%1."/>
      <w:lvlJc w:val="left"/>
      <w:pPr>
        <w:ind w:left="1406" w:hanging="1406"/>
      </w:pPr>
      <w:rPr>
        <w:rFonts w:cs="Times New Roman" w:hint="default"/>
        <w:b/>
      </w:rPr>
    </w:lvl>
    <w:lvl w:ilvl="1">
      <w:start w:val="1"/>
      <w:numFmt w:val="decimal"/>
      <w:isLgl/>
      <w:lvlText w:val="%1.%2."/>
      <w:lvlJc w:val="left"/>
      <w:pPr>
        <w:tabs>
          <w:tab w:val="left" w:pos="705"/>
        </w:tabs>
        <w:ind w:left="705" w:hanging="705"/>
      </w:pPr>
      <w:rPr>
        <w:rFonts w:cs="Times New Roman" w:hint="default"/>
        <w:b/>
      </w:rPr>
    </w:lvl>
    <w:lvl w:ilvl="2">
      <w:start w:val="1"/>
      <w:numFmt w:val="decimal"/>
      <w:pStyle w:val="a3"/>
      <w:lvlText w:val="%1.%2.%3."/>
      <w:lvlJc w:val="left"/>
      <w:pPr>
        <w:tabs>
          <w:tab w:val="left" w:pos="720"/>
        </w:tabs>
        <w:ind w:left="720" w:hanging="720"/>
      </w:pPr>
      <w:rPr>
        <w:rFonts w:cs="Times New Roman" w:hint="default"/>
        <w:b/>
      </w:rPr>
    </w:lvl>
    <w:lvl w:ilvl="3">
      <w:start w:val="1"/>
      <w:numFmt w:val="decimal"/>
      <w:pStyle w:val="a4"/>
      <w:lvlText w:val="%1.%2.%3.%4."/>
      <w:lvlJc w:val="left"/>
      <w:pPr>
        <w:tabs>
          <w:tab w:val="left" w:pos="1080"/>
        </w:tabs>
        <w:ind w:left="720" w:hanging="720"/>
      </w:pPr>
      <w:rPr>
        <w:rFonts w:cs="Times New Roman" w:hint="default"/>
        <w:b/>
      </w:rPr>
    </w:lvl>
    <w:lvl w:ilvl="4">
      <w:start w:val="1"/>
      <w:numFmt w:val="decimal"/>
      <w:lvlText w:val="%1.%2.%3.%4.%5."/>
      <w:lvlJc w:val="left"/>
      <w:pPr>
        <w:tabs>
          <w:tab w:val="left" w:pos="1080"/>
        </w:tabs>
        <w:ind w:left="1080" w:hanging="1080"/>
      </w:pPr>
      <w:rPr>
        <w:rFonts w:cs="Times New Roman" w:hint="default"/>
        <w:b/>
      </w:rPr>
    </w:lvl>
    <w:lvl w:ilvl="5">
      <w:start w:val="1"/>
      <w:numFmt w:val="decimal"/>
      <w:lvlText w:val="%1.%2.%3.%4.%5.%6."/>
      <w:lvlJc w:val="left"/>
      <w:pPr>
        <w:tabs>
          <w:tab w:val="left" w:pos="1080"/>
        </w:tabs>
        <w:ind w:left="1080" w:hanging="1080"/>
      </w:pPr>
      <w:rPr>
        <w:rFonts w:cs="Times New Roman" w:hint="default"/>
        <w:b/>
      </w:rPr>
    </w:lvl>
    <w:lvl w:ilvl="6">
      <w:start w:val="1"/>
      <w:numFmt w:val="decimal"/>
      <w:lvlText w:val="%1.%2.%3.%4.%5.%6.%7."/>
      <w:lvlJc w:val="left"/>
      <w:pPr>
        <w:tabs>
          <w:tab w:val="left" w:pos="1440"/>
        </w:tabs>
        <w:ind w:left="1440" w:hanging="1440"/>
      </w:pPr>
      <w:rPr>
        <w:rFonts w:cs="Times New Roman" w:hint="default"/>
        <w:b/>
      </w:rPr>
    </w:lvl>
    <w:lvl w:ilvl="7">
      <w:start w:val="1"/>
      <w:numFmt w:val="decimal"/>
      <w:lvlText w:val="%1.%2.%3.%4.%5.%6.%7.%8."/>
      <w:lvlJc w:val="left"/>
      <w:pPr>
        <w:tabs>
          <w:tab w:val="left" w:pos="1440"/>
        </w:tabs>
        <w:ind w:left="1440" w:hanging="1440"/>
      </w:pPr>
      <w:rPr>
        <w:rFonts w:cs="Times New Roman" w:hint="default"/>
        <w:b/>
      </w:rPr>
    </w:lvl>
    <w:lvl w:ilvl="8">
      <w:start w:val="1"/>
      <w:numFmt w:val="decimal"/>
      <w:lvlText w:val="%1.%2.%3.%4.%5.%6.%7.%8.%9."/>
      <w:lvlJc w:val="left"/>
      <w:pPr>
        <w:tabs>
          <w:tab w:val="left" w:pos="1440"/>
        </w:tabs>
        <w:ind w:left="1440" w:hanging="1440"/>
      </w:pPr>
      <w:rPr>
        <w:rFonts w:cs="Times New Roman" w:hint="default"/>
        <w:b/>
      </w:rPr>
    </w:lvl>
  </w:abstractNum>
  <w:abstractNum w:abstractNumId="27" w15:restartNumberingAfterBreak="0">
    <w:nsid w:val="66AD448B"/>
    <w:multiLevelType w:val="singleLevel"/>
    <w:tmpl w:val="66AD448B"/>
    <w:lvl w:ilvl="0">
      <w:start w:val="1"/>
      <w:numFmt w:val="lowerLetter"/>
      <w:pStyle w:val="40"/>
      <w:lvlText w:val="(%1)"/>
      <w:lvlJc w:val="left"/>
      <w:pPr>
        <w:tabs>
          <w:tab w:val="left" w:pos="705"/>
        </w:tabs>
        <w:ind w:left="705" w:hanging="705"/>
      </w:pPr>
      <w:rPr>
        <w:rFonts w:cs="Times New Roman" w:hint="default"/>
      </w:rPr>
    </w:lvl>
  </w:abstractNum>
  <w:abstractNum w:abstractNumId="28" w15:restartNumberingAfterBreak="0">
    <w:nsid w:val="783C64C9"/>
    <w:multiLevelType w:val="multilevel"/>
    <w:tmpl w:val="783C64C9"/>
    <w:lvl w:ilvl="0">
      <w:start w:val="1"/>
      <w:numFmt w:val="bullet"/>
      <w:lvlText w:val="-"/>
      <w:lvlJc w:val="left"/>
      <w:pPr>
        <w:ind w:left="1644" w:hanging="360"/>
      </w:pPr>
      <w:rPr>
        <w:rFonts w:ascii="Courier New" w:hAnsi="Courier New" w:hint="default"/>
      </w:rPr>
    </w:lvl>
    <w:lvl w:ilvl="1">
      <w:start w:val="1"/>
      <w:numFmt w:val="bullet"/>
      <w:lvlText w:val="o"/>
      <w:lvlJc w:val="left"/>
      <w:pPr>
        <w:ind w:left="2364" w:hanging="360"/>
      </w:pPr>
      <w:rPr>
        <w:rFonts w:ascii="Courier New" w:hAnsi="Courier New" w:cs="Courier New" w:hint="default"/>
      </w:rPr>
    </w:lvl>
    <w:lvl w:ilvl="2">
      <w:start w:val="1"/>
      <w:numFmt w:val="bullet"/>
      <w:lvlText w:val=""/>
      <w:lvlJc w:val="left"/>
      <w:pPr>
        <w:ind w:left="3084" w:hanging="360"/>
      </w:pPr>
      <w:rPr>
        <w:rFonts w:ascii="Wingdings" w:hAnsi="Wingdings" w:hint="default"/>
      </w:rPr>
    </w:lvl>
    <w:lvl w:ilvl="3">
      <w:start w:val="1"/>
      <w:numFmt w:val="bullet"/>
      <w:lvlText w:val=""/>
      <w:lvlJc w:val="left"/>
      <w:pPr>
        <w:ind w:left="3804" w:hanging="360"/>
      </w:pPr>
      <w:rPr>
        <w:rFonts w:ascii="Symbol" w:hAnsi="Symbol" w:hint="default"/>
      </w:rPr>
    </w:lvl>
    <w:lvl w:ilvl="4">
      <w:start w:val="1"/>
      <w:numFmt w:val="bullet"/>
      <w:lvlText w:val="o"/>
      <w:lvlJc w:val="left"/>
      <w:pPr>
        <w:ind w:left="4524" w:hanging="360"/>
      </w:pPr>
      <w:rPr>
        <w:rFonts w:ascii="Courier New" w:hAnsi="Courier New" w:cs="Courier New" w:hint="default"/>
      </w:rPr>
    </w:lvl>
    <w:lvl w:ilvl="5">
      <w:start w:val="1"/>
      <w:numFmt w:val="bullet"/>
      <w:lvlText w:val=""/>
      <w:lvlJc w:val="left"/>
      <w:pPr>
        <w:ind w:left="5244" w:hanging="360"/>
      </w:pPr>
      <w:rPr>
        <w:rFonts w:ascii="Wingdings" w:hAnsi="Wingdings" w:hint="default"/>
      </w:rPr>
    </w:lvl>
    <w:lvl w:ilvl="6">
      <w:start w:val="1"/>
      <w:numFmt w:val="bullet"/>
      <w:lvlText w:val=""/>
      <w:lvlJc w:val="left"/>
      <w:pPr>
        <w:ind w:left="5964" w:hanging="360"/>
      </w:pPr>
      <w:rPr>
        <w:rFonts w:ascii="Symbol" w:hAnsi="Symbol" w:hint="default"/>
      </w:rPr>
    </w:lvl>
    <w:lvl w:ilvl="7">
      <w:start w:val="1"/>
      <w:numFmt w:val="bullet"/>
      <w:lvlText w:val="o"/>
      <w:lvlJc w:val="left"/>
      <w:pPr>
        <w:ind w:left="6684" w:hanging="360"/>
      </w:pPr>
      <w:rPr>
        <w:rFonts w:ascii="Courier New" w:hAnsi="Courier New" w:cs="Courier New" w:hint="default"/>
      </w:rPr>
    </w:lvl>
    <w:lvl w:ilvl="8">
      <w:start w:val="1"/>
      <w:numFmt w:val="bullet"/>
      <w:lvlText w:val=""/>
      <w:lvlJc w:val="left"/>
      <w:pPr>
        <w:ind w:left="7404" w:hanging="360"/>
      </w:pPr>
      <w:rPr>
        <w:rFonts w:ascii="Wingdings" w:hAnsi="Wingdings" w:hint="default"/>
      </w:rPr>
    </w:lvl>
  </w:abstractNum>
  <w:num w:numId="1">
    <w:abstractNumId w:val="15"/>
  </w:num>
  <w:num w:numId="2">
    <w:abstractNumId w:val="20"/>
  </w:num>
  <w:num w:numId="3">
    <w:abstractNumId w:val="27"/>
  </w:num>
  <w:num w:numId="4">
    <w:abstractNumId w:val="12"/>
    <w:lvlOverride w:ilvl="0">
      <w:lvl w:ilvl="0" w:tentative="1">
        <w:start w:val="1"/>
        <w:numFmt w:val="bullet"/>
        <w:pStyle w:val="5"/>
        <w:lvlText w:val=""/>
        <w:legacy w:legacy="1" w:legacySpace="0" w:legacyIndent="283"/>
        <w:lvlJc w:val="left"/>
        <w:pPr>
          <w:ind w:left="283" w:hanging="283"/>
        </w:pPr>
        <w:rPr>
          <w:rFonts w:ascii="Symbol" w:hAnsi="Symbol" w:hint="default"/>
        </w:rPr>
      </w:lvl>
    </w:lvlOverride>
  </w:num>
  <w:num w:numId="5">
    <w:abstractNumId w:val="3"/>
  </w:num>
  <w:num w:numId="6">
    <w:abstractNumId w:val="10"/>
  </w:num>
  <w:num w:numId="7">
    <w:abstractNumId w:val="6"/>
  </w:num>
  <w:num w:numId="8">
    <w:abstractNumId w:val="5"/>
  </w:num>
  <w:num w:numId="9">
    <w:abstractNumId w:val="4"/>
  </w:num>
  <w:num w:numId="10">
    <w:abstractNumId w:val="18"/>
  </w:num>
  <w:num w:numId="11">
    <w:abstractNumId w:val="11"/>
  </w:num>
  <w:num w:numId="12">
    <w:abstractNumId w:val="9"/>
  </w:num>
  <w:num w:numId="13">
    <w:abstractNumId w:val="8"/>
  </w:num>
  <w:num w:numId="14">
    <w:abstractNumId w:val="7"/>
  </w:num>
  <w:num w:numId="15">
    <w:abstractNumId w:val="16"/>
  </w:num>
  <w:num w:numId="16">
    <w:abstractNumId w:val="26"/>
  </w:num>
  <w:num w:numId="17">
    <w:abstractNumId w:val="13"/>
  </w:num>
  <w:num w:numId="18">
    <w:abstractNumId w:val="2"/>
  </w:num>
  <w:num w:numId="19">
    <w:abstractNumId w:val="0"/>
  </w:num>
  <w:num w:numId="20">
    <w:abstractNumId w:val="14"/>
  </w:num>
  <w:num w:numId="21">
    <w:abstractNumId w:val="17"/>
  </w:num>
  <w:num w:numId="22">
    <w:abstractNumId w:val="24"/>
    <w:lvlOverride w:ilvl="0">
      <w:lvl w:ilvl="0">
        <w:start w:val="1"/>
        <w:numFmt w:val="bullet"/>
        <w:lvlText w:val=""/>
        <w:lvlJc w:val="left"/>
        <w:pPr>
          <w:ind w:left="8724" w:hanging="360"/>
        </w:pPr>
        <w:rPr>
          <w:rFonts w:ascii="Symbol" w:hAnsi="Symbol" w:hint="default"/>
          <w:lang w:val="ru-RU"/>
        </w:rPr>
      </w:lvl>
    </w:lvlOverride>
  </w:num>
  <w:num w:numId="23">
    <w:abstractNumId w:val="24"/>
    <w:lvlOverride w:ilvl="0">
      <w:lvl w:ilvl="0">
        <w:start w:val="1"/>
        <w:numFmt w:val="bullet"/>
        <w:lvlText w:val=""/>
        <w:lvlJc w:val="left"/>
        <w:pPr>
          <w:ind w:left="1211" w:hanging="360"/>
        </w:pPr>
        <w:rPr>
          <w:rFonts w:ascii="Symbol" w:hAnsi="Symbol" w:hint="default"/>
          <w:lang w:val="ru-RU"/>
        </w:rPr>
      </w:lvl>
    </w:lvlOverride>
  </w:num>
  <w:num w:numId="24">
    <w:abstractNumId w:val="25"/>
  </w:num>
  <w:num w:numId="25">
    <w:abstractNumId w:val="24"/>
    <w:lvlOverride w:ilvl="0">
      <w:lvl w:ilvl="0">
        <w:start w:val="1"/>
        <w:numFmt w:val="bullet"/>
        <w:lvlText w:val=""/>
        <w:lvlJc w:val="left"/>
        <w:pPr>
          <w:ind w:left="5180" w:hanging="360"/>
        </w:pPr>
        <w:rPr>
          <w:rFonts w:ascii="Symbol" w:hAnsi="Symbol" w:hint="default"/>
          <w:lang w:val="ru-RU"/>
        </w:rPr>
      </w:lvl>
    </w:lvlOverride>
  </w:num>
  <w:num w:numId="26">
    <w:abstractNumId w:val="24"/>
    <w:lvlOverride w:ilvl="0">
      <w:lvl w:ilvl="0">
        <w:start w:val="1"/>
        <w:numFmt w:val="bullet"/>
        <w:lvlText w:val=""/>
        <w:lvlJc w:val="left"/>
        <w:pPr>
          <w:ind w:left="1211" w:hanging="360"/>
        </w:pPr>
        <w:rPr>
          <w:rFonts w:ascii="Symbol" w:hAnsi="Symbol" w:hint="default"/>
          <w:lang w:val="ru-RU"/>
        </w:rPr>
      </w:lvl>
    </w:lvlOverride>
    <w:lvlOverride w:ilvl="1">
      <w:lvl w:ilvl="1" w:tentative="1">
        <w:start w:val="1"/>
        <w:numFmt w:val="bullet"/>
        <w:lvlText w:val="o"/>
        <w:lvlJc w:val="left"/>
        <w:pPr>
          <w:ind w:left="1980" w:hanging="360"/>
        </w:pPr>
        <w:rPr>
          <w:rFonts w:ascii="Courier New" w:hAnsi="Courier New" w:cs="Courier New" w:hint="default"/>
        </w:rPr>
      </w:lvl>
    </w:lvlOverride>
    <w:lvlOverride w:ilvl="2">
      <w:lvl w:ilvl="2" w:tentative="1">
        <w:start w:val="1"/>
        <w:numFmt w:val="bullet"/>
        <w:lvlText w:val=""/>
        <w:lvlJc w:val="left"/>
        <w:pPr>
          <w:ind w:left="2700" w:hanging="360"/>
        </w:pPr>
        <w:rPr>
          <w:rFonts w:ascii="Wingdings" w:hAnsi="Wingdings" w:hint="default"/>
        </w:rPr>
      </w:lvl>
    </w:lvlOverride>
    <w:lvlOverride w:ilvl="3">
      <w:lvl w:ilvl="3" w:tentative="1">
        <w:start w:val="1"/>
        <w:numFmt w:val="bullet"/>
        <w:lvlText w:val=""/>
        <w:lvlJc w:val="left"/>
        <w:pPr>
          <w:ind w:left="3420" w:hanging="360"/>
        </w:pPr>
        <w:rPr>
          <w:rFonts w:ascii="Symbol" w:hAnsi="Symbol" w:hint="default"/>
        </w:rPr>
      </w:lvl>
    </w:lvlOverride>
    <w:lvlOverride w:ilvl="4">
      <w:lvl w:ilvl="4" w:tentative="1">
        <w:start w:val="1"/>
        <w:numFmt w:val="bullet"/>
        <w:lvlText w:val="o"/>
        <w:lvlJc w:val="left"/>
        <w:pPr>
          <w:ind w:left="4140" w:hanging="360"/>
        </w:pPr>
        <w:rPr>
          <w:rFonts w:ascii="Courier New" w:hAnsi="Courier New" w:cs="Courier New" w:hint="default"/>
        </w:rPr>
      </w:lvl>
    </w:lvlOverride>
    <w:lvlOverride w:ilvl="5">
      <w:lvl w:ilvl="5" w:tentative="1">
        <w:start w:val="1"/>
        <w:numFmt w:val="bullet"/>
        <w:lvlText w:val=""/>
        <w:lvlJc w:val="left"/>
        <w:pPr>
          <w:ind w:left="4860" w:hanging="360"/>
        </w:pPr>
        <w:rPr>
          <w:rFonts w:ascii="Wingdings" w:hAnsi="Wingdings" w:hint="default"/>
        </w:rPr>
      </w:lvl>
    </w:lvlOverride>
    <w:lvlOverride w:ilvl="6">
      <w:lvl w:ilvl="6" w:tentative="1">
        <w:start w:val="1"/>
        <w:numFmt w:val="bullet"/>
        <w:lvlText w:val=""/>
        <w:lvlJc w:val="left"/>
        <w:pPr>
          <w:ind w:left="5580" w:hanging="360"/>
        </w:pPr>
        <w:rPr>
          <w:rFonts w:ascii="Symbol" w:hAnsi="Symbol" w:hint="default"/>
        </w:rPr>
      </w:lvl>
    </w:lvlOverride>
    <w:lvlOverride w:ilvl="7">
      <w:lvl w:ilvl="7" w:tentative="1">
        <w:start w:val="1"/>
        <w:numFmt w:val="bullet"/>
        <w:lvlText w:val="o"/>
        <w:lvlJc w:val="left"/>
        <w:pPr>
          <w:ind w:left="6300" w:hanging="360"/>
        </w:pPr>
        <w:rPr>
          <w:rFonts w:ascii="Courier New" w:hAnsi="Courier New" w:cs="Courier New" w:hint="default"/>
        </w:rPr>
      </w:lvl>
    </w:lvlOverride>
    <w:lvlOverride w:ilvl="8">
      <w:lvl w:ilvl="8" w:tentative="1">
        <w:start w:val="1"/>
        <w:numFmt w:val="bullet"/>
        <w:lvlText w:val=""/>
        <w:lvlJc w:val="left"/>
        <w:pPr>
          <w:ind w:left="7020" w:hanging="360"/>
        </w:pPr>
        <w:rPr>
          <w:rFonts w:ascii="Wingdings" w:hAnsi="Wingdings" w:hint="default"/>
        </w:rPr>
      </w:lvl>
    </w:lvlOverride>
  </w:num>
  <w:num w:numId="27">
    <w:abstractNumId w:val="24"/>
    <w:lvlOverride w:ilvl="0">
      <w:lvl w:ilvl="0">
        <w:start w:val="1"/>
        <w:numFmt w:val="bullet"/>
        <w:lvlText w:val=""/>
        <w:lvlJc w:val="left"/>
        <w:pPr>
          <w:ind w:left="2487" w:hanging="360"/>
        </w:pPr>
        <w:rPr>
          <w:rFonts w:ascii="Symbol" w:hAnsi="Symbol" w:hint="default"/>
          <w:lang w:val="ru-RU"/>
        </w:rPr>
      </w:lvl>
    </w:lvlOverride>
    <w:lvlOverride w:ilvl="1">
      <w:lvl w:ilvl="1" w:tentative="1">
        <w:numFmt w:val="decimal"/>
        <w:lvlText w:val=""/>
        <w:lvlJc w:val="left"/>
      </w:lvl>
    </w:lvlOverride>
    <w:lvlOverride w:ilvl="2">
      <w:lvl w:ilvl="2" w:tentative="1">
        <w:numFmt w:val="decimal"/>
        <w:lvlText w:val=""/>
        <w:lvlJc w:val="left"/>
      </w:lvl>
    </w:lvlOverride>
    <w:lvlOverride w:ilvl="3">
      <w:lvl w:ilvl="3" w:tentative="1">
        <w:numFmt w:val="decimal"/>
        <w:lvlText w:val=""/>
        <w:lvlJc w:val="left"/>
      </w:lvl>
    </w:lvlOverride>
    <w:lvlOverride w:ilvl="4">
      <w:lvl w:ilvl="4" w:tentative="1">
        <w:numFmt w:val="decimal"/>
        <w:lvlText w:val=""/>
        <w:lvlJc w:val="left"/>
      </w:lvl>
    </w:lvlOverride>
    <w:lvlOverride w:ilvl="5">
      <w:lvl w:ilvl="5" w:tentative="1">
        <w:numFmt w:val="decimal"/>
        <w:lvlText w:val=""/>
        <w:lvlJc w:val="left"/>
      </w:lvl>
    </w:lvlOverride>
    <w:lvlOverride w:ilvl="6">
      <w:lvl w:ilvl="6" w:tentative="1">
        <w:numFmt w:val="decimal"/>
        <w:lvlText w:val=""/>
        <w:lvlJc w:val="left"/>
      </w:lvl>
    </w:lvlOverride>
    <w:lvlOverride w:ilvl="7">
      <w:lvl w:ilvl="7" w:tentative="1">
        <w:numFmt w:val="decimal"/>
        <w:lvlText w:val=""/>
        <w:lvlJc w:val="left"/>
      </w:lvl>
    </w:lvlOverride>
    <w:lvlOverride w:ilvl="8">
      <w:lvl w:ilvl="8" w:tentative="1">
        <w:numFmt w:val="decimal"/>
        <w:lvlText w:val=""/>
        <w:lvlJc w:val="left"/>
      </w:lvl>
    </w:lvlOverride>
  </w:num>
  <w:num w:numId="28">
    <w:abstractNumId w:val="24"/>
    <w:lvlOverride w:ilvl="0">
      <w:lvl w:ilvl="0">
        <w:start w:val="1"/>
        <w:numFmt w:val="bullet"/>
        <w:lvlText w:val=""/>
        <w:lvlJc w:val="left"/>
        <w:pPr>
          <w:ind w:left="1920" w:hanging="360"/>
        </w:pPr>
        <w:rPr>
          <w:rFonts w:ascii="Symbol" w:hAnsi="Symbol" w:hint="default"/>
          <w:color w:val="auto"/>
        </w:rPr>
      </w:lvl>
    </w:lvlOverride>
  </w:num>
  <w:num w:numId="29">
    <w:abstractNumId w:val="24"/>
    <w:lvlOverride w:ilvl="0">
      <w:lvl w:ilvl="0">
        <w:start w:val="1"/>
        <w:numFmt w:val="bullet"/>
        <w:lvlText w:val=""/>
        <w:lvlJc w:val="left"/>
        <w:pPr>
          <w:ind w:left="1211" w:hanging="360"/>
        </w:pPr>
        <w:rPr>
          <w:rFonts w:ascii="Symbol" w:hAnsi="Symbol" w:hint="default"/>
          <w:color w:val="auto"/>
        </w:rPr>
      </w:lvl>
    </w:lvlOverride>
    <w:lvlOverride w:ilvl="1">
      <w:lvl w:ilvl="1" w:tentative="1">
        <w:numFmt w:val="decimal"/>
        <w:lvlText w:val=""/>
        <w:lvlJc w:val="left"/>
      </w:lvl>
    </w:lvlOverride>
    <w:lvlOverride w:ilvl="2">
      <w:lvl w:ilvl="2" w:tentative="1">
        <w:numFmt w:val="decimal"/>
        <w:lvlText w:val=""/>
        <w:lvlJc w:val="left"/>
      </w:lvl>
    </w:lvlOverride>
    <w:lvlOverride w:ilvl="3">
      <w:lvl w:ilvl="3" w:tentative="1">
        <w:numFmt w:val="decimal"/>
        <w:lvlText w:val=""/>
        <w:lvlJc w:val="left"/>
      </w:lvl>
    </w:lvlOverride>
    <w:lvlOverride w:ilvl="4">
      <w:lvl w:ilvl="4" w:tentative="1">
        <w:numFmt w:val="decimal"/>
        <w:lvlText w:val=""/>
        <w:lvlJc w:val="left"/>
      </w:lvl>
    </w:lvlOverride>
    <w:lvlOverride w:ilvl="5">
      <w:lvl w:ilvl="5" w:tentative="1">
        <w:numFmt w:val="decimal"/>
        <w:lvlText w:val=""/>
        <w:lvlJc w:val="left"/>
      </w:lvl>
    </w:lvlOverride>
    <w:lvlOverride w:ilvl="6">
      <w:lvl w:ilvl="6" w:tentative="1">
        <w:numFmt w:val="decimal"/>
        <w:lvlText w:val=""/>
        <w:lvlJc w:val="left"/>
      </w:lvl>
    </w:lvlOverride>
    <w:lvlOverride w:ilvl="7">
      <w:lvl w:ilvl="7" w:tentative="1">
        <w:numFmt w:val="decimal"/>
        <w:lvlText w:val=""/>
        <w:lvlJc w:val="left"/>
      </w:lvl>
    </w:lvlOverride>
    <w:lvlOverride w:ilvl="8">
      <w:lvl w:ilvl="8" w:tentative="1">
        <w:numFmt w:val="decimal"/>
        <w:lvlText w:val=""/>
        <w:lvlJc w:val="left"/>
      </w:lvl>
    </w:lvlOverride>
  </w:num>
  <w:num w:numId="30">
    <w:abstractNumId w:val="24"/>
  </w:num>
  <w:num w:numId="31">
    <w:abstractNumId w:val="23"/>
  </w:num>
  <w:num w:numId="32">
    <w:abstractNumId w:val="19"/>
  </w:num>
  <w:num w:numId="33">
    <w:abstractNumId w:val="22"/>
  </w:num>
  <w:num w:numId="34">
    <w:abstractNumId w:val="28"/>
  </w:num>
  <w:num w:numId="35">
    <w:abstractNumId w:val="21"/>
  </w:num>
  <w:num w:numId="36">
    <w:abstractNumId w:val="24"/>
    <w:lvlOverride w:ilvl="0">
      <w:lvl w:ilvl="0">
        <w:start w:val="1"/>
        <w:numFmt w:val="bullet"/>
        <w:lvlText w:val=""/>
        <w:lvlJc w:val="left"/>
        <w:pPr>
          <w:ind w:left="1353" w:hanging="360"/>
        </w:pPr>
        <w:rPr>
          <w:rFonts w:ascii="Symbol" w:hAnsi="Symbol" w:hint="default"/>
          <w:lang w:val="ru-RU"/>
        </w:rPr>
      </w:lvl>
    </w:lvlOverride>
  </w:num>
  <w:num w:numId="37">
    <w:abstractNumId w:val="1"/>
  </w:num>
  <w:num w:numId="38">
    <w:abstractNumId w:val="24"/>
    <w:lvlOverride w:ilvl="0">
      <w:lvl w:ilvl="0">
        <w:start w:val="1"/>
        <w:numFmt w:val="bullet"/>
        <w:lvlText w:val=""/>
        <w:lvlJc w:val="left"/>
        <w:pPr>
          <w:ind w:left="1494" w:hanging="360"/>
        </w:pPr>
        <w:rPr>
          <w:rFonts w:ascii="Symbol" w:hAnsi="Symbol" w:hint="default"/>
          <w:lang w:val="ru-RU"/>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B4C"/>
    <w:rsid w:val="000000D6"/>
    <w:rsid w:val="000005AC"/>
    <w:rsid w:val="000008B6"/>
    <w:rsid w:val="00001213"/>
    <w:rsid w:val="00001710"/>
    <w:rsid w:val="000019C2"/>
    <w:rsid w:val="00001E99"/>
    <w:rsid w:val="00001FDF"/>
    <w:rsid w:val="0000245E"/>
    <w:rsid w:val="00002604"/>
    <w:rsid w:val="00002959"/>
    <w:rsid w:val="00002B03"/>
    <w:rsid w:val="00002FEC"/>
    <w:rsid w:val="00005705"/>
    <w:rsid w:val="0000734C"/>
    <w:rsid w:val="00007803"/>
    <w:rsid w:val="0001026E"/>
    <w:rsid w:val="0001044A"/>
    <w:rsid w:val="00010646"/>
    <w:rsid w:val="00010692"/>
    <w:rsid w:val="00010785"/>
    <w:rsid w:val="00011207"/>
    <w:rsid w:val="000117F9"/>
    <w:rsid w:val="00011B63"/>
    <w:rsid w:val="000122A3"/>
    <w:rsid w:val="00013B03"/>
    <w:rsid w:val="00014DA9"/>
    <w:rsid w:val="000157EF"/>
    <w:rsid w:val="00015DF8"/>
    <w:rsid w:val="00015E61"/>
    <w:rsid w:val="000163E7"/>
    <w:rsid w:val="000165EF"/>
    <w:rsid w:val="0001674F"/>
    <w:rsid w:val="00016F78"/>
    <w:rsid w:val="00017076"/>
    <w:rsid w:val="0001776F"/>
    <w:rsid w:val="00017AFF"/>
    <w:rsid w:val="00017B9D"/>
    <w:rsid w:val="0002016C"/>
    <w:rsid w:val="00020361"/>
    <w:rsid w:val="00020397"/>
    <w:rsid w:val="000206DE"/>
    <w:rsid w:val="00020BC1"/>
    <w:rsid w:val="00021318"/>
    <w:rsid w:val="00022FCE"/>
    <w:rsid w:val="00023439"/>
    <w:rsid w:val="00023745"/>
    <w:rsid w:val="000238F5"/>
    <w:rsid w:val="00024267"/>
    <w:rsid w:val="0002434C"/>
    <w:rsid w:val="000248D3"/>
    <w:rsid w:val="00024C8E"/>
    <w:rsid w:val="00024D81"/>
    <w:rsid w:val="0002518A"/>
    <w:rsid w:val="0002569A"/>
    <w:rsid w:val="00025856"/>
    <w:rsid w:val="00025ECA"/>
    <w:rsid w:val="000261A1"/>
    <w:rsid w:val="000261E1"/>
    <w:rsid w:val="0002631F"/>
    <w:rsid w:val="0002672C"/>
    <w:rsid w:val="00027282"/>
    <w:rsid w:val="000304F3"/>
    <w:rsid w:val="000306F8"/>
    <w:rsid w:val="000308CD"/>
    <w:rsid w:val="00030A3E"/>
    <w:rsid w:val="00030A4C"/>
    <w:rsid w:val="00030B1E"/>
    <w:rsid w:val="00030C5B"/>
    <w:rsid w:val="000311A1"/>
    <w:rsid w:val="000328B5"/>
    <w:rsid w:val="00032E22"/>
    <w:rsid w:val="0003372B"/>
    <w:rsid w:val="0003396C"/>
    <w:rsid w:val="00033EB3"/>
    <w:rsid w:val="00034448"/>
    <w:rsid w:val="00034957"/>
    <w:rsid w:val="00035631"/>
    <w:rsid w:val="00036290"/>
    <w:rsid w:val="000363B0"/>
    <w:rsid w:val="00036CFE"/>
    <w:rsid w:val="00036E34"/>
    <w:rsid w:val="00037673"/>
    <w:rsid w:val="00037C1A"/>
    <w:rsid w:val="00037D16"/>
    <w:rsid w:val="00040096"/>
    <w:rsid w:val="00040DDD"/>
    <w:rsid w:val="00040ED1"/>
    <w:rsid w:val="00040EDD"/>
    <w:rsid w:val="00041C39"/>
    <w:rsid w:val="00041C8E"/>
    <w:rsid w:val="00041DD8"/>
    <w:rsid w:val="00042A20"/>
    <w:rsid w:val="00043088"/>
    <w:rsid w:val="00043BE0"/>
    <w:rsid w:val="00043D01"/>
    <w:rsid w:val="000464DE"/>
    <w:rsid w:val="00046BD8"/>
    <w:rsid w:val="00046C30"/>
    <w:rsid w:val="000502EE"/>
    <w:rsid w:val="00050752"/>
    <w:rsid w:val="00050B93"/>
    <w:rsid w:val="00050EC9"/>
    <w:rsid w:val="000527DE"/>
    <w:rsid w:val="00052CEF"/>
    <w:rsid w:val="000530EC"/>
    <w:rsid w:val="00053C5F"/>
    <w:rsid w:val="00053E55"/>
    <w:rsid w:val="00054050"/>
    <w:rsid w:val="0005495E"/>
    <w:rsid w:val="000549C2"/>
    <w:rsid w:val="00054D1C"/>
    <w:rsid w:val="000553D3"/>
    <w:rsid w:val="000555A8"/>
    <w:rsid w:val="00055ED4"/>
    <w:rsid w:val="00056A31"/>
    <w:rsid w:val="00056AE2"/>
    <w:rsid w:val="00056F83"/>
    <w:rsid w:val="0005737F"/>
    <w:rsid w:val="000577D3"/>
    <w:rsid w:val="0005799D"/>
    <w:rsid w:val="00060508"/>
    <w:rsid w:val="00060613"/>
    <w:rsid w:val="00060D58"/>
    <w:rsid w:val="00061244"/>
    <w:rsid w:val="00061989"/>
    <w:rsid w:val="0006242B"/>
    <w:rsid w:val="00062888"/>
    <w:rsid w:val="00062AD4"/>
    <w:rsid w:val="00062C82"/>
    <w:rsid w:val="00062C90"/>
    <w:rsid w:val="00062EFC"/>
    <w:rsid w:val="00063B64"/>
    <w:rsid w:val="00064C26"/>
    <w:rsid w:val="00065EB5"/>
    <w:rsid w:val="00066337"/>
    <w:rsid w:val="00066380"/>
    <w:rsid w:val="0006686B"/>
    <w:rsid w:val="0006693F"/>
    <w:rsid w:val="00066A7C"/>
    <w:rsid w:val="00066BFC"/>
    <w:rsid w:val="000679C2"/>
    <w:rsid w:val="00070664"/>
    <w:rsid w:val="00070A75"/>
    <w:rsid w:val="00070BB9"/>
    <w:rsid w:val="0007159B"/>
    <w:rsid w:val="00071658"/>
    <w:rsid w:val="0007205A"/>
    <w:rsid w:val="000722E2"/>
    <w:rsid w:val="00072442"/>
    <w:rsid w:val="00073A13"/>
    <w:rsid w:val="00073C07"/>
    <w:rsid w:val="00074524"/>
    <w:rsid w:val="00074B3E"/>
    <w:rsid w:val="00075B78"/>
    <w:rsid w:val="00076195"/>
    <w:rsid w:val="000766F3"/>
    <w:rsid w:val="00076D32"/>
    <w:rsid w:val="0007740C"/>
    <w:rsid w:val="0007760A"/>
    <w:rsid w:val="00077D28"/>
    <w:rsid w:val="000809A1"/>
    <w:rsid w:val="00080D3B"/>
    <w:rsid w:val="000813D1"/>
    <w:rsid w:val="0008164D"/>
    <w:rsid w:val="00081D96"/>
    <w:rsid w:val="00082BC1"/>
    <w:rsid w:val="00083015"/>
    <w:rsid w:val="000832AC"/>
    <w:rsid w:val="00083375"/>
    <w:rsid w:val="00083776"/>
    <w:rsid w:val="00084679"/>
    <w:rsid w:val="00084956"/>
    <w:rsid w:val="00084C17"/>
    <w:rsid w:val="00084FF9"/>
    <w:rsid w:val="00085B95"/>
    <w:rsid w:val="00086931"/>
    <w:rsid w:val="000873B9"/>
    <w:rsid w:val="00090405"/>
    <w:rsid w:val="00090EB1"/>
    <w:rsid w:val="00090EE5"/>
    <w:rsid w:val="00091453"/>
    <w:rsid w:val="00091922"/>
    <w:rsid w:val="00091A48"/>
    <w:rsid w:val="00091D20"/>
    <w:rsid w:val="00092BBB"/>
    <w:rsid w:val="00093904"/>
    <w:rsid w:val="00093E48"/>
    <w:rsid w:val="00093F86"/>
    <w:rsid w:val="00094466"/>
    <w:rsid w:val="00094B7F"/>
    <w:rsid w:val="000959B5"/>
    <w:rsid w:val="000962FC"/>
    <w:rsid w:val="000964AC"/>
    <w:rsid w:val="000969B8"/>
    <w:rsid w:val="000969D4"/>
    <w:rsid w:val="00096B7B"/>
    <w:rsid w:val="00097B77"/>
    <w:rsid w:val="000A0913"/>
    <w:rsid w:val="000A09A9"/>
    <w:rsid w:val="000A09B0"/>
    <w:rsid w:val="000A0A20"/>
    <w:rsid w:val="000A0BAA"/>
    <w:rsid w:val="000A29B0"/>
    <w:rsid w:val="000A2A3E"/>
    <w:rsid w:val="000A2D24"/>
    <w:rsid w:val="000A2D6E"/>
    <w:rsid w:val="000A404E"/>
    <w:rsid w:val="000A4AC7"/>
    <w:rsid w:val="000A52CE"/>
    <w:rsid w:val="000A543C"/>
    <w:rsid w:val="000A56EB"/>
    <w:rsid w:val="000A5F49"/>
    <w:rsid w:val="000A6165"/>
    <w:rsid w:val="000A694B"/>
    <w:rsid w:val="000A6DB4"/>
    <w:rsid w:val="000A71D2"/>
    <w:rsid w:val="000B06D1"/>
    <w:rsid w:val="000B0843"/>
    <w:rsid w:val="000B0D66"/>
    <w:rsid w:val="000B0D77"/>
    <w:rsid w:val="000B0FAB"/>
    <w:rsid w:val="000B1A3E"/>
    <w:rsid w:val="000B27B1"/>
    <w:rsid w:val="000B295F"/>
    <w:rsid w:val="000B30F1"/>
    <w:rsid w:val="000B330C"/>
    <w:rsid w:val="000B39F9"/>
    <w:rsid w:val="000B4744"/>
    <w:rsid w:val="000B4FA9"/>
    <w:rsid w:val="000B5D27"/>
    <w:rsid w:val="000B5EDA"/>
    <w:rsid w:val="000B66EB"/>
    <w:rsid w:val="000B6C61"/>
    <w:rsid w:val="000B7118"/>
    <w:rsid w:val="000B71D5"/>
    <w:rsid w:val="000B7AB6"/>
    <w:rsid w:val="000B7B38"/>
    <w:rsid w:val="000B7B56"/>
    <w:rsid w:val="000C04E4"/>
    <w:rsid w:val="000C066E"/>
    <w:rsid w:val="000C07FE"/>
    <w:rsid w:val="000C0BCC"/>
    <w:rsid w:val="000C1607"/>
    <w:rsid w:val="000C1A91"/>
    <w:rsid w:val="000C1C78"/>
    <w:rsid w:val="000C21B4"/>
    <w:rsid w:val="000C225D"/>
    <w:rsid w:val="000C22E8"/>
    <w:rsid w:val="000C2840"/>
    <w:rsid w:val="000C2E52"/>
    <w:rsid w:val="000C2F2D"/>
    <w:rsid w:val="000C3287"/>
    <w:rsid w:val="000C3BEB"/>
    <w:rsid w:val="000C3F84"/>
    <w:rsid w:val="000C407C"/>
    <w:rsid w:val="000C53B1"/>
    <w:rsid w:val="000C5697"/>
    <w:rsid w:val="000C6BDA"/>
    <w:rsid w:val="000C7202"/>
    <w:rsid w:val="000C7BED"/>
    <w:rsid w:val="000C7DC2"/>
    <w:rsid w:val="000C7E0C"/>
    <w:rsid w:val="000D093E"/>
    <w:rsid w:val="000D0DB8"/>
    <w:rsid w:val="000D0EB6"/>
    <w:rsid w:val="000D0F31"/>
    <w:rsid w:val="000D1224"/>
    <w:rsid w:val="000D150B"/>
    <w:rsid w:val="000D1AED"/>
    <w:rsid w:val="000D350A"/>
    <w:rsid w:val="000D42A7"/>
    <w:rsid w:val="000D42D7"/>
    <w:rsid w:val="000D43FE"/>
    <w:rsid w:val="000D53E7"/>
    <w:rsid w:val="000D5A4F"/>
    <w:rsid w:val="000D5AEF"/>
    <w:rsid w:val="000D6582"/>
    <w:rsid w:val="000D68B6"/>
    <w:rsid w:val="000D6C52"/>
    <w:rsid w:val="000D7B81"/>
    <w:rsid w:val="000D7DCD"/>
    <w:rsid w:val="000D7DE3"/>
    <w:rsid w:val="000D7E33"/>
    <w:rsid w:val="000E0117"/>
    <w:rsid w:val="000E01C2"/>
    <w:rsid w:val="000E0A3C"/>
    <w:rsid w:val="000E141C"/>
    <w:rsid w:val="000E1B81"/>
    <w:rsid w:val="000E1C19"/>
    <w:rsid w:val="000E2CE6"/>
    <w:rsid w:val="000E3164"/>
    <w:rsid w:val="000E3468"/>
    <w:rsid w:val="000E3B71"/>
    <w:rsid w:val="000E3CC2"/>
    <w:rsid w:val="000E44E8"/>
    <w:rsid w:val="000E44F5"/>
    <w:rsid w:val="000E591D"/>
    <w:rsid w:val="000E5A7D"/>
    <w:rsid w:val="000E5D09"/>
    <w:rsid w:val="000E5D0C"/>
    <w:rsid w:val="000E7C89"/>
    <w:rsid w:val="000F020E"/>
    <w:rsid w:val="000F05B9"/>
    <w:rsid w:val="000F183B"/>
    <w:rsid w:val="000F20FC"/>
    <w:rsid w:val="000F2404"/>
    <w:rsid w:val="000F27F5"/>
    <w:rsid w:val="000F345D"/>
    <w:rsid w:val="000F349F"/>
    <w:rsid w:val="000F4EB8"/>
    <w:rsid w:val="000F507B"/>
    <w:rsid w:val="000F555C"/>
    <w:rsid w:val="000F5881"/>
    <w:rsid w:val="000F6338"/>
    <w:rsid w:val="000F66DD"/>
    <w:rsid w:val="000F682C"/>
    <w:rsid w:val="00100DFC"/>
    <w:rsid w:val="001015C8"/>
    <w:rsid w:val="00102145"/>
    <w:rsid w:val="0010251D"/>
    <w:rsid w:val="0010331C"/>
    <w:rsid w:val="00103839"/>
    <w:rsid w:val="00103A00"/>
    <w:rsid w:val="001048C1"/>
    <w:rsid w:val="00104A2D"/>
    <w:rsid w:val="00104C4A"/>
    <w:rsid w:val="0010535F"/>
    <w:rsid w:val="001055FD"/>
    <w:rsid w:val="00105A72"/>
    <w:rsid w:val="00105B31"/>
    <w:rsid w:val="00105BB2"/>
    <w:rsid w:val="00105DE8"/>
    <w:rsid w:val="00106027"/>
    <w:rsid w:val="00106319"/>
    <w:rsid w:val="001069FE"/>
    <w:rsid w:val="00106D69"/>
    <w:rsid w:val="001070B9"/>
    <w:rsid w:val="00107715"/>
    <w:rsid w:val="00107B15"/>
    <w:rsid w:val="00110157"/>
    <w:rsid w:val="0011044D"/>
    <w:rsid w:val="001110FF"/>
    <w:rsid w:val="001117B2"/>
    <w:rsid w:val="00111F0E"/>
    <w:rsid w:val="00112136"/>
    <w:rsid w:val="00112478"/>
    <w:rsid w:val="00112A78"/>
    <w:rsid w:val="00113314"/>
    <w:rsid w:val="0011332E"/>
    <w:rsid w:val="001143CF"/>
    <w:rsid w:val="001147B0"/>
    <w:rsid w:val="00114EF5"/>
    <w:rsid w:val="00115799"/>
    <w:rsid w:val="00115BE1"/>
    <w:rsid w:val="0011649B"/>
    <w:rsid w:val="0011657E"/>
    <w:rsid w:val="00116785"/>
    <w:rsid w:val="00116912"/>
    <w:rsid w:val="0011730A"/>
    <w:rsid w:val="00117806"/>
    <w:rsid w:val="00117F92"/>
    <w:rsid w:val="001207C9"/>
    <w:rsid w:val="00121B43"/>
    <w:rsid w:val="00122F0D"/>
    <w:rsid w:val="001237AF"/>
    <w:rsid w:val="00123D84"/>
    <w:rsid w:val="001243BA"/>
    <w:rsid w:val="00124AA8"/>
    <w:rsid w:val="00124EAA"/>
    <w:rsid w:val="00125758"/>
    <w:rsid w:val="001266DE"/>
    <w:rsid w:val="001270B7"/>
    <w:rsid w:val="001271C4"/>
    <w:rsid w:val="00127CB5"/>
    <w:rsid w:val="00127F34"/>
    <w:rsid w:val="0013064E"/>
    <w:rsid w:val="00130FA0"/>
    <w:rsid w:val="0013124E"/>
    <w:rsid w:val="00131422"/>
    <w:rsid w:val="001315B2"/>
    <w:rsid w:val="0013186F"/>
    <w:rsid w:val="00131DE3"/>
    <w:rsid w:val="0013226B"/>
    <w:rsid w:val="00132BFA"/>
    <w:rsid w:val="00132E8A"/>
    <w:rsid w:val="001338CF"/>
    <w:rsid w:val="00133B84"/>
    <w:rsid w:val="00133D53"/>
    <w:rsid w:val="001346BB"/>
    <w:rsid w:val="00134A6C"/>
    <w:rsid w:val="001356BE"/>
    <w:rsid w:val="00135BE9"/>
    <w:rsid w:val="001361BD"/>
    <w:rsid w:val="001362D0"/>
    <w:rsid w:val="0013659B"/>
    <w:rsid w:val="00136ACE"/>
    <w:rsid w:val="00136AD5"/>
    <w:rsid w:val="00136BA9"/>
    <w:rsid w:val="00137106"/>
    <w:rsid w:val="001371ED"/>
    <w:rsid w:val="00137268"/>
    <w:rsid w:val="00137D4A"/>
    <w:rsid w:val="001406BA"/>
    <w:rsid w:val="00140B9F"/>
    <w:rsid w:val="00141344"/>
    <w:rsid w:val="001414FC"/>
    <w:rsid w:val="001415F4"/>
    <w:rsid w:val="0014177C"/>
    <w:rsid w:val="00141EFE"/>
    <w:rsid w:val="001424DC"/>
    <w:rsid w:val="001424F6"/>
    <w:rsid w:val="0014303B"/>
    <w:rsid w:val="001436D0"/>
    <w:rsid w:val="00143FFF"/>
    <w:rsid w:val="00144362"/>
    <w:rsid w:val="00144667"/>
    <w:rsid w:val="001448A4"/>
    <w:rsid w:val="00145429"/>
    <w:rsid w:val="00145757"/>
    <w:rsid w:val="00145E48"/>
    <w:rsid w:val="00145FF9"/>
    <w:rsid w:val="00146280"/>
    <w:rsid w:val="0014659C"/>
    <w:rsid w:val="00146842"/>
    <w:rsid w:val="001472EF"/>
    <w:rsid w:val="0014754D"/>
    <w:rsid w:val="0014756A"/>
    <w:rsid w:val="001478A5"/>
    <w:rsid w:val="00147980"/>
    <w:rsid w:val="00150C69"/>
    <w:rsid w:val="0015134D"/>
    <w:rsid w:val="001515BD"/>
    <w:rsid w:val="00151CFC"/>
    <w:rsid w:val="00151F2D"/>
    <w:rsid w:val="00154AE7"/>
    <w:rsid w:val="001552AF"/>
    <w:rsid w:val="00155C8B"/>
    <w:rsid w:val="00156930"/>
    <w:rsid w:val="00157305"/>
    <w:rsid w:val="00157366"/>
    <w:rsid w:val="00157554"/>
    <w:rsid w:val="001576E8"/>
    <w:rsid w:val="0015781B"/>
    <w:rsid w:val="00160105"/>
    <w:rsid w:val="001606C7"/>
    <w:rsid w:val="0016094D"/>
    <w:rsid w:val="00160AF3"/>
    <w:rsid w:val="00160C8F"/>
    <w:rsid w:val="00161D69"/>
    <w:rsid w:val="00162133"/>
    <w:rsid w:val="00162FB5"/>
    <w:rsid w:val="00163A06"/>
    <w:rsid w:val="001640C1"/>
    <w:rsid w:val="001644B9"/>
    <w:rsid w:val="00164803"/>
    <w:rsid w:val="00165A09"/>
    <w:rsid w:val="00165E50"/>
    <w:rsid w:val="00166002"/>
    <w:rsid w:val="00166159"/>
    <w:rsid w:val="00166816"/>
    <w:rsid w:val="00166CE2"/>
    <w:rsid w:val="00166D3C"/>
    <w:rsid w:val="00167304"/>
    <w:rsid w:val="00167613"/>
    <w:rsid w:val="00167617"/>
    <w:rsid w:val="00167A9C"/>
    <w:rsid w:val="001701BD"/>
    <w:rsid w:val="001704FE"/>
    <w:rsid w:val="00170BEE"/>
    <w:rsid w:val="00170CD7"/>
    <w:rsid w:val="00170D51"/>
    <w:rsid w:val="00171563"/>
    <w:rsid w:val="00171801"/>
    <w:rsid w:val="00171FBD"/>
    <w:rsid w:val="001725EB"/>
    <w:rsid w:val="00172B46"/>
    <w:rsid w:val="00172D59"/>
    <w:rsid w:val="00174330"/>
    <w:rsid w:val="00174E72"/>
    <w:rsid w:val="00175095"/>
    <w:rsid w:val="001761C0"/>
    <w:rsid w:val="00176588"/>
    <w:rsid w:val="001767E6"/>
    <w:rsid w:val="001770E0"/>
    <w:rsid w:val="00177A18"/>
    <w:rsid w:val="00177C0C"/>
    <w:rsid w:val="00180AD0"/>
    <w:rsid w:val="001811CC"/>
    <w:rsid w:val="0018135E"/>
    <w:rsid w:val="0018173B"/>
    <w:rsid w:val="00181E02"/>
    <w:rsid w:val="0018255F"/>
    <w:rsid w:val="00183154"/>
    <w:rsid w:val="001831D0"/>
    <w:rsid w:val="00183232"/>
    <w:rsid w:val="001835EF"/>
    <w:rsid w:val="0018370B"/>
    <w:rsid w:val="0018378A"/>
    <w:rsid w:val="00183FE7"/>
    <w:rsid w:val="00184CC6"/>
    <w:rsid w:val="0018555F"/>
    <w:rsid w:val="001857AC"/>
    <w:rsid w:val="001858FA"/>
    <w:rsid w:val="001865B6"/>
    <w:rsid w:val="00186D9F"/>
    <w:rsid w:val="001872BF"/>
    <w:rsid w:val="0018792C"/>
    <w:rsid w:val="00187D30"/>
    <w:rsid w:val="00187F5F"/>
    <w:rsid w:val="001902C3"/>
    <w:rsid w:val="001902E7"/>
    <w:rsid w:val="001911E1"/>
    <w:rsid w:val="001916A4"/>
    <w:rsid w:val="00191706"/>
    <w:rsid w:val="00191EA4"/>
    <w:rsid w:val="00191FC8"/>
    <w:rsid w:val="00192361"/>
    <w:rsid w:val="001927FD"/>
    <w:rsid w:val="00192CFF"/>
    <w:rsid w:val="00192E5B"/>
    <w:rsid w:val="00192FD4"/>
    <w:rsid w:val="00193462"/>
    <w:rsid w:val="001943A7"/>
    <w:rsid w:val="00194B91"/>
    <w:rsid w:val="00194ECC"/>
    <w:rsid w:val="0019545A"/>
    <w:rsid w:val="001958B3"/>
    <w:rsid w:val="00195AA2"/>
    <w:rsid w:val="00195B83"/>
    <w:rsid w:val="00195C68"/>
    <w:rsid w:val="00195F92"/>
    <w:rsid w:val="001963FA"/>
    <w:rsid w:val="001969B1"/>
    <w:rsid w:val="00196B83"/>
    <w:rsid w:val="00196F92"/>
    <w:rsid w:val="00197621"/>
    <w:rsid w:val="0019791E"/>
    <w:rsid w:val="00197FE1"/>
    <w:rsid w:val="001A0AF9"/>
    <w:rsid w:val="001A0DA6"/>
    <w:rsid w:val="001A16D9"/>
    <w:rsid w:val="001A1C9C"/>
    <w:rsid w:val="001A21E2"/>
    <w:rsid w:val="001A3874"/>
    <w:rsid w:val="001A408B"/>
    <w:rsid w:val="001A46DF"/>
    <w:rsid w:val="001A4DE5"/>
    <w:rsid w:val="001A5959"/>
    <w:rsid w:val="001A5D88"/>
    <w:rsid w:val="001A5D89"/>
    <w:rsid w:val="001A6123"/>
    <w:rsid w:val="001A69C9"/>
    <w:rsid w:val="001A6E69"/>
    <w:rsid w:val="001A7346"/>
    <w:rsid w:val="001A75F9"/>
    <w:rsid w:val="001A7996"/>
    <w:rsid w:val="001A79A8"/>
    <w:rsid w:val="001A7B20"/>
    <w:rsid w:val="001A7B2F"/>
    <w:rsid w:val="001B05A6"/>
    <w:rsid w:val="001B09B3"/>
    <w:rsid w:val="001B0E4B"/>
    <w:rsid w:val="001B0F2D"/>
    <w:rsid w:val="001B1348"/>
    <w:rsid w:val="001B167C"/>
    <w:rsid w:val="001B1738"/>
    <w:rsid w:val="001B1DB0"/>
    <w:rsid w:val="001B1EA6"/>
    <w:rsid w:val="001B20A5"/>
    <w:rsid w:val="001B2496"/>
    <w:rsid w:val="001B2ADF"/>
    <w:rsid w:val="001B32D4"/>
    <w:rsid w:val="001B33DF"/>
    <w:rsid w:val="001B3A5D"/>
    <w:rsid w:val="001B47A7"/>
    <w:rsid w:val="001B5290"/>
    <w:rsid w:val="001B54F7"/>
    <w:rsid w:val="001B58D1"/>
    <w:rsid w:val="001B635E"/>
    <w:rsid w:val="001B6B5E"/>
    <w:rsid w:val="001B72E2"/>
    <w:rsid w:val="001B737C"/>
    <w:rsid w:val="001B74E8"/>
    <w:rsid w:val="001B75C5"/>
    <w:rsid w:val="001B7635"/>
    <w:rsid w:val="001B7D9A"/>
    <w:rsid w:val="001C031C"/>
    <w:rsid w:val="001C0938"/>
    <w:rsid w:val="001C0E2C"/>
    <w:rsid w:val="001C0F12"/>
    <w:rsid w:val="001C1230"/>
    <w:rsid w:val="001C17E3"/>
    <w:rsid w:val="001C1C59"/>
    <w:rsid w:val="001C20A2"/>
    <w:rsid w:val="001C222F"/>
    <w:rsid w:val="001C353E"/>
    <w:rsid w:val="001C3606"/>
    <w:rsid w:val="001C3AD4"/>
    <w:rsid w:val="001C3BD7"/>
    <w:rsid w:val="001C48BE"/>
    <w:rsid w:val="001C4A2E"/>
    <w:rsid w:val="001C5CDB"/>
    <w:rsid w:val="001C5E04"/>
    <w:rsid w:val="001C60AF"/>
    <w:rsid w:val="001C61F6"/>
    <w:rsid w:val="001C65A6"/>
    <w:rsid w:val="001C680B"/>
    <w:rsid w:val="001C68A8"/>
    <w:rsid w:val="001C6DD4"/>
    <w:rsid w:val="001C7109"/>
    <w:rsid w:val="001C74F1"/>
    <w:rsid w:val="001C7E19"/>
    <w:rsid w:val="001C7FD9"/>
    <w:rsid w:val="001D07F6"/>
    <w:rsid w:val="001D0F18"/>
    <w:rsid w:val="001D1711"/>
    <w:rsid w:val="001D19E3"/>
    <w:rsid w:val="001D1F1A"/>
    <w:rsid w:val="001D29D2"/>
    <w:rsid w:val="001D33AB"/>
    <w:rsid w:val="001D4055"/>
    <w:rsid w:val="001D42D8"/>
    <w:rsid w:val="001D463C"/>
    <w:rsid w:val="001D4859"/>
    <w:rsid w:val="001D4A39"/>
    <w:rsid w:val="001D4F63"/>
    <w:rsid w:val="001D5024"/>
    <w:rsid w:val="001D5083"/>
    <w:rsid w:val="001D5349"/>
    <w:rsid w:val="001D5C13"/>
    <w:rsid w:val="001D7835"/>
    <w:rsid w:val="001D7E77"/>
    <w:rsid w:val="001E04C2"/>
    <w:rsid w:val="001E05C8"/>
    <w:rsid w:val="001E0C46"/>
    <w:rsid w:val="001E0CCD"/>
    <w:rsid w:val="001E0D3F"/>
    <w:rsid w:val="001E1E6D"/>
    <w:rsid w:val="001E21F4"/>
    <w:rsid w:val="001E2833"/>
    <w:rsid w:val="001E2892"/>
    <w:rsid w:val="001E2B08"/>
    <w:rsid w:val="001E313A"/>
    <w:rsid w:val="001E3185"/>
    <w:rsid w:val="001E3814"/>
    <w:rsid w:val="001E3DEA"/>
    <w:rsid w:val="001E424F"/>
    <w:rsid w:val="001E44A5"/>
    <w:rsid w:val="001E45FA"/>
    <w:rsid w:val="001E4B25"/>
    <w:rsid w:val="001E531E"/>
    <w:rsid w:val="001E6D2B"/>
    <w:rsid w:val="001E703F"/>
    <w:rsid w:val="001E776C"/>
    <w:rsid w:val="001F03A0"/>
    <w:rsid w:val="001F1EE0"/>
    <w:rsid w:val="001F24C7"/>
    <w:rsid w:val="001F2ACE"/>
    <w:rsid w:val="001F2D49"/>
    <w:rsid w:val="001F316B"/>
    <w:rsid w:val="001F360B"/>
    <w:rsid w:val="001F3E2B"/>
    <w:rsid w:val="001F3EB0"/>
    <w:rsid w:val="001F4408"/>
    <w:rsid w:val="001F661C"/>
    <w:rsid w:val="001F687B"/>
    <w:rsid w:val="001F6E72"/>
    <w:rsid w:val="001F7395"/>
    <w:rsid w:val="001F7815"/>
    <w:rsid w:val="001F7943"/>
    <w:rsid w:val="001F7BD6"/>
    <w:rsid w:val="001F7C70"/>
    <w:rsid w:val="00200363"/>
    <w:rsid w:val="002008CE"/>
    <w:rsid w:val="002009B0"/>
    <w:rsid w:val="00200C55"/>
    <w:rsid w:val="00200EA3"/>
    <w:rsid w:val="002026A6"/>
    <w:rsid w:val="002034BD"/>
    <w:rsid w:val="00203D40"/>
    <w:rsid w:val="00204549"/>
    <w:rsid w:val="00204BE1"/>
    <w:rsid w:val="002050B0"/>
    <w:rsid w:val="00205226"/>
    <w:rsid w:val="0020536E"/>
    <w:rsid w:val="002057E1"/>
    <w:rsid w:val="0020616B"/>
    <w:rsid w:val="00206288"/>
    <w:rsid w:val="00206B5D"/>
    <w:rsid w:val="00206DB7"/>
    <w:rsid w:val="00207092"/>
    <w:rsid w:val="00207861"/>
    <w:rsid w:val="00207DB4"/>
    <w:rsid w:val="00210172"/>
    <w:rsid w:val="0021050A"/>
    <w:rsid w:val="00210570"/>
    <w:rsid w:val="00210842"/>
    <w:rsid w:val="00211A6A"/>
    <w:rsid w:val="00211FF9"/>
    <w:rsid w:val="002127A8"/>
    <w:rsid w:val="00212A92"/>
    <w:rsid w:val="00212D30"/>
    <w:rsid w:val="0021381B"/>
    <w:rsid w:val="0021384B"/>
    <w:rsid w:val="002138C2"/>
    <w:rsid w:val="00213964"/>
    <w:rsid w:val="00213A33"/>
    <w:rsid w:val="002145C6"/>
    <w:rsid w:val="00214D8F"/>
    <w:rsid w:val="002157B9"/>
    <w:rsid w:val="0021630B"/>
    <w:rsid w:val="00216508"/>
    <w:rsid w:val="00217841"/>
    <w:rsid w:val="002179EA"/>
    <w:rsid w:val="00217F40"/>
    <w:rsid w:val="00220094"/>
    <w:rsid w:val="00220290"/>
    <w:rsid w:val="00220294"/>
    <w:rsid w:val="00220945"/>
    <w:rsid w:val="0022150B"/>
    <w:rsid w:val="00222BC4"/>
    <w:rsid w:val="00222C3E"/>
    <w:rsid w:val="00222C74"/>
    <w:rsid w:val="002230A8"/>
    <w:rsid w:val="002230C6"/>
    <w:rsid w:val="002231C0"/>
    <w:rsid w:val="00224633"/>
    <w:rsid w:val="00225170"/>
    <w:rsid w:val="00226006"/>
    <w:rsid w:val="002260EE"/>
    <w:rsid w:val="00226628"/>
    <w:rsid w:val="00226B17"/>
    <w:rsid w:val="00226F9F"/>
    <w:rsid w:val="002279D2"/>
    <w:rsid w:val="00227CFD"/>
    <w:rsid w:val="002303CC"/>
    <w:rsid w:val="00231181"/>
    <w:rsid w:val="00231774"/>
    <w:rsid w:val="00231856"/>
    <w:rsid w:val="002319CF"/>
    <w:rsid w:val="00231C53"/>
    <w:rsid w:val="0023202F"/>
    <w:rsid w:val="00232212"/>
    <w:rsid w:val="00232482"/>
    <w:rsid w:val="002328C0"/>
    <w:rsid w:val="0023343B"/>
    <w:rsid w:val="002338CB"/>
    <w:rsid w:val="00233E64"/>
    <w:rsid w:val="00234295"/>
    <w:rsid w:val="00234309"/>
    <w:rsid w:val="002348B3"/>
    <w:rsid w:val="002354D5"/>
    <w:rsid w:val="002355CD"/>
    <w:rsid w:val="002355CE"/>
    <w:rsid w:val="00235C68"/>
    <w:rsid w:val="00235C8D"/>
    <w:rsid w:val="002361EE"/>
    <w:rsid w:val="002364B0"/>
    <w:rsid w:val="002372B6"/>
    <w:rsid w:val="00237C3D"/>
    <w:rsid w:val="00240787"/>
    <w:rsid w:val="00240F86"/>
    <w:rsid w:val="0024154F"/>
    <w:rsid w:val="00241801"/>
    <w:rsid w:val="00241897"/>
    <w:rsid w:val="0024193F"/>
    <w:rsid w:val="002419C3"/>
    <w:rsid w:val="00241B5D"/>
    <w:rsid w:val="00241BA9"/>
    <w:rsid w:val="00242005"/>
    <w:rsid w:val="0024243A"/>
    <w:rsid w:val="0024262C"/>
    <w:rsid w:val="00242BCC"/>
    <w:rsid w:val="00242CD9"/>
    <w:rsid w:val="002437BE"/>
    <w:rsid w:val="00243C85"/>
    <w:rsid w:val="002449D7"/>
    <w:rsid w:val="00244C26"/>
    <w:rsid w:val="002451D0"/>
    <w:rsid w:val="002458CA"/>
    <w:rsid w:val="00245C4E"/>
    <w:rsid w:val="00246028"/>
    <w:rsid w:val="002466B5"/>
    <w:rsid w:val="00247418"/>
    <w:rsid w:val="00247918"/>
    <w:rsid w:val="002479CE"/>
    <w:rsid w:val="00250703"/>
    <w:rsid w:val="00250834"/>
    <w:rsid w:val="00250BA5"/>
    <w:rsid w:val="00251556"/>
    <w:rsid w:val="00251660"/>
    <w:rsid w:val="0025178E"/>
    <w:rsid w:val="00251AE5"/>
    <w:rsid w:val="00252206"/>
    <w:rsid w:val="002525C8"/>
    <w:rsid w:val="002538DE"/>
    <w:rsid w:val="00253B0A"/>
    <w:rsid w:val="00253D8E"/>
    <w:rsid w:val="0025516A"/>
    <w:rsid w:val="0025539B"/>
    <w:rsid w:val="00255466"/>
    <w:rsid w:val="00255AE6"/>
    <w:rsid w:val="002567A4"/>
    <w:rsid w:val="0025703C"/>
    <w:rsid w:val="00257720"/>
    <w:rsid w:val="002579D0"/>
    <w:rsid w:val="00257A6B"/>
    <w:rsid w:val="00260199"/>
    <w:rsid w:val="00260526"/>
    <w:rsid w:val="002612A5"/>
    <w:rsid w:val="00261611"/>
    <w:rsid w:val="0026206A"/>
    <w:rsid w:val="002622A4"/>
    <w:rsid w:val="00262357"/>
    <w:rsid w:val="00262497"/>
    <w:rsid w:val="002637DA"/>
    <w:rsid w:val="002638EF"/>
    <w:rsid w:val="00263C09"/>
    <w:rsid w:val="00264755"/>
    <w:rsid w:val="00264A71"/>
    <w:rsid w:val="00264EE1"/>
    <w:rsid w:val="00265306"/>
    <w:rsid w:val="002658BB"/>
    <w:rsid w:val="00266AE1"/>
    <w:rsid w:val="00267352"/>
    <w:rsid w:val="00267D01"/>
    <w:rsid w:val="002712F2"/>
    <w:rsid w:val="0027130E"/>
    <w:rsid w:val="00271D14"/>
    <w:rsid w:val="00271E7B"/>
    <w:rsid w:val="0027237A"/>
    <w:rsid w:val="00273289"/>
    <w:rsid w:val="00273A23"/>
    <w:rsid w:val="00273B2C"/>
    <w:rsid w:val="00273D30"/>
    <w:rsid w:val="00273FC5"/>
    <w:rsid w:val="0027462D"/>
    <w:rsid w:val="0027493F"/>
    <w:rsid w:val="00274CD3"/>
    <w:rsid w:val="00274D64"/>
    <w:rsid w:val="00274E11"/>
    <w:rsid w:val="0027539C"/>
    <w:rsid w:val="00275B25"/>
    <w:rsid w:val="00275F51"/>
    <w:rsid w:val="0027696D"/>
    <w:rsid w:val="002769CF"/>
    <w:rsid w:val="00276C19"/>
    <w:rsid w:val="00276E99"/>
    <w:rsid w:val="00276FB6"/>
    <w:rsid w:val="0027766D"/>
    <w:rsid w:val="0028033C"/>
    <w:rsid w:val="0028084B"/>
    <w:rsid w:val="0028084D"/>
    <w:rsid w:val="00281371"/>
    <w:rsid w:val="0028154B"/>
    <w:rsid w:val="0028203F"/>
    <w:rsid w:val="002829EC"/>
    <w:rsid w:val="00283190"/>
    <w:rsid w:val="0028333F"/>
    <w:rsid w:val="002835AE"/>
    <w:rsid w:val="00283D3B"/>
    <w:rsid w:val="002844E8"/>
    <w:rsid w:val="002845DD"/>
    <w:rsid w:val="0028546F"/>
    <w:rsid w:val="00285727"/>
    <w:rsid w:val="00285931"/>
    <w:rsid w:val="00285B35"/>
    <w:rsid w:val="00286820"/>
    <w:rsid w:val="00286F09"/>
    <w:rsid w:val="0028718E"/>
    <w:rsid w:val="00287293"/>
    <w:rsid w:val="00287552"/>
    <w:rsid w:val="0028757D"/>
    <w:rsid w:val="00287957"/>
    <w:rsid w:val="00287E0F"/>
    <w:rsid w:val="00287FCA"/>
    <w:rsid w:val="00290016"/>
    <w:rsid w:val="00290C35"/>
    <w:rsid w:val="00291023"/>
    <w:rsid w:val="002910DD"/>
    <w:rsid w:val="00291964"/>
    <w:rsid w:val="00291B8A"/>
    <w:rsid w:val="00292437"/>
    <w:rsid w:val="00292840"/>
    <w:rsid w:val="002932FD"/>
    <w:rsid w:val="0029352A"/>
    <w:rsid w:val="00293610"/>
    <w:rsid w:val="00293876"/>
    <w:rsid w:val="00293CBD"/>
    <w:rsid w:val="002940B0"/>
    <w:rsid w:val="0029491A"/>
    <w:rsid w:val="00294A38"/>
    <w:rsid w:val="0029520D"/>
    <w:rsid w:val="00295D14"/>
    <w:rsid w:val="00295DA6"/>
    <w:rsid w:val="0029629F"/>
    <w:rsid w:val="002962E1"/>
    <w:rsid w:val="00297019"/>
    <w:rsid w:val="00297975"/>
    <w:rsid w:val="002A0136"/>
    <w:rsid w:val="002A0355"/>
    <w:rsid w:val="002A0843"/>
    <w:rsid w:val="002A0C3F"/>
    <w:rsid w:val="002A127F"/>
    <w:rsid w:val="002A14FA"/>
    <w:rsid w:val="002A1648"/>
    <w:rsid w:val="002A171F"/>
    <w:rsid w:val="002A19A3"/>
    <w:rsid w:val="002A20B8"/>
    <w:rsid w:val="002A23DF"/>
    <w:rsid w:val="002A2550"/>
    <w:rsid w:val="002A25C7"/>
    <w:rsid w:val="002A25F7"/>
    <w:rsid w:val="002A2787"/>
    <w:rsid w:val="002A2870"/>
    <w:rsid w:val="002A2ED1"/>
    <w:rsid w:val="002A3482"/>
    <w:rsid w:val="002A38B3"/>
    <w:rsid w:val="002A4178"/>
    <w:rsid w:val="002A43C0"/>
    <w:rsid w:val="002A4A15"/>
    <w:rsid w:val="002A4DA7"/>
    <w:rsid w:val="002A4E32"/>
    <w:rsid w:val="002A4E6D"/>
    <w:rsid w:val="002A53CB"/>
    <w:rsid w:val="002A58AA"/>
    <w:rsid w:val="002A5B5C"/>
    <w:rsid w:val="002A5C4C"/>
    <w:rsid w:val="002A6316"/>
    <w:rsid w:val="002A73A0"/>
    <w:rsid w:val="002A742A"/>
    <w:rsid w:val="002B0697"/>
    <w:rsid w:val="002B0B1B"/>
    <w:rsid w:val="002B0EA7"/>
    <w:rsid w:val="002B1023"/>
    <w:rsid w:val="002B1296"/>
    <w:rsid w:val="002B19E1"/>
    <w:rsid w:val="002B1F74"/>
    <w:rsid w:val="002B2A74"/>
    <w:rsid w:val="002B2FE0"/>
    <w:rsid w:val="002B39CE"/>
    <w:rsid w:val="002B3CC6"/>
    <w:rsid w:val="002B3CCB"/>
    <w:rsid w:val="002B42A3"/>
    <w:rsid w:val="002B4738"/>
    <w:rsid w:val="002B47A2"/>
    <w:rsid w:val="002B551C"/>
    <w:rsid w:val="002B6488"/>
    <w:rsid w:val="002B6C4F"/>
    <w:rsid w:val="002B6EC0"/>
    <w:rsid w:val="002B702A"/>
    <w:rsid w:val="002C032B"/>
    <w:rsid w:val="002C07FA"/>
    <w:rsid w:val="002C0806"/>
    <w:rsid w:val="002C0880"/>
    <w:rsid w:val="002C15E1"/>
    <w:rsid w:val="002C1E4E"/>
    <w:rsid w:val="002C28D8"/>
    <w:rsid w:val="002C2C02"/>
    <w:rsid w:val="002C3240"/>
    <w:rsid w:val="002C3549"/>
    <w:rsid w:val="002C37B5"/>
    <w:rsid w:val="002C3929"/>
    <w:rsid w:val="002C406B"/>
    <w:rsid w:val="002C4C8F"/>
    <w:rsid w:val="002C4DBA"/>
    <w:rsid w:val="002C4F6E"/>
    <w:rsid w:val="002C539F"/>
    <w:rsid w:val="002C5AA5"/>
    <w:rsid w:val="002C5BAB"/>
    <w:rsid w:val="002C5D43"/>
    <w:rsid w:val="002C5F11"/>
    <w:rsid w:val="002C63A5"/>
    <w:rsid w:val="002C65AE"/>
    <w:rsid w:val="002C6DAE"/>
    <w:rsid w:val="002C6F0B"/>
    <w:rsid w:val="002C715E"/>
    <w:rsid w:val="002C71EA"/>
    <w:rsid w:val="002C7CB9"/>
    <w:rsid w:val="002D0586"/>
    <w:rsid w:val="002D0641"/>
    <w:rsid w:val="002D078B"/>
    <w:rsid w:val="002D08A5"/>
    <w:rsid w:val="002D0BA4"/>
    <w:rsid w:val="002D1053"/>
    <w:rsid w:val="002D1785"/>
    <w:rsid w:val="002D304B"/>
    <w:rsid w:val="002D33C7"/>
    <w:rsid w:val="002D33F9"/>
    <w:rsid w:val="002D4AD6"/>
    <w:rsid w:val="002D4B0C"/>
    <w:rsid w:val="002D4E4F"/>
    <w:rsid w:val="002D5061"/>
    <w:rsid w:val="002D6293"/>
    <w:rsid w:val="002D6ADF"/>
    <w:rsid w:val="002D715A"/>
    <w:rsid w:val="002D762A"/>
    <w:rsid w:val="002E00A9"/>
    <w:rsid w:val="002E024D"/>
    <w:rsid w:val="002E0941"/>
    <w:rsid w:val="002E0A5C"/>
    <w:rsid w:val="002E0B70"/>
    <w:rsid w:val="002E17E0"/>
    <w:rsid w:val="002E1F1E"/>
    <w:rsid w:val="002E2CAE"/>
    <w:rsid w:val="002E3561"/>
    <w:rsid w:val="002E361F"/>
    <w:rsid w:val="002E3D74"/>
    <w:rsid w:val="002E43F4"/>
    <w:rsid w:val="002E46BB"/>
    <w:rsid w:val="002E49F7"/>
    <w:rsid w:val="002E5005"/>
    <w:rsid w:val="002E53E1"/>
    <w:rsid w:val="002E56CC"/>
    <w:rsid w:val="002E571D"/>
    <w:rsid w:val="002E574C"/>
    <w:rsid w:val="002E5A2E"/>
    <w:rsid w:val="002E5C3C"/>
    <w:rsid w:val="002E60D8"/>
    <w:rsid w:val="002E6820"/>
    <w:rsid w:val="002E6932"/>
    <w:rsid w:val="002E69B1"/>
    <w:rsid w:val="002E6D5C"/>
    <w:rsid w:val="002E6EE5"/>
    <w:rsid w:val="002E74F4"/>
    <w:rsid w:val="002E75B4"/>
    <w:rsid w:val="002E7FC7"/>
    <w:rsid w:val="002F0429"/>
    <w:rsid w:val="002F0BB7"/>
    <w:rsid w:val="002F0D0C"/>
    <w:rsid w:val="002F10BA"/>
    <w:rsid w:val="002F1278"/>
    <w:rsid w:val="002F1C36"/>
    <w:rsid w:val="002F1EBC"/>
    <w:rsid w:val="002F2187"/>
    <w:rsid w:val="002F2511"/>
    <w:rsid w:val="002F3485"/>
    <w:rsid w:val="002F3CE2"/>
    <w:rsid w:val="002F42FC"/>
    <w:rsid w:val="002F4350"/>
    <w:rsid w:val="002F4C16"/>
    <w:rsid w:val="002F4CAA"/>
    <w:rsid w:val="002F5B22"/>
    <w:rsid w:val="002F5D9D"/>
    <w:rsid w:val="002F5FE0"/>
    <w:rsid w:val="002F6092"/>
    <w:rsid w:val="002F65C9"/>
    <w:rsid w:val="002F6B4E"/>
    <w:rsid w:val="002F6C82"/>
    <w:rsid w:val="002F6E69"/>
    <w:rsid w:val="0030046A"/>
    <w:rsid w:val="003016B1"/>
    <w:rsid w:val="003019B7"/>
    <w:rsid w:val="00301E82"/>
    <w:rsid w:val="0030260A"/>
    <w:rsid w:val="00302A86"/>
    <w:rsid w:val="00302B86"/>
    <w:rsid w:val="0030338C"/>
    <w:rsid w:val="003037CE"/>
    <w:rsid w:val="00303937"/>
    <w:rsid w:val="00303B5B"/>
    <w:rsid w:val="0030485F"/>
    <w:rsid w:val="00304B76"/>
    <w:rsid w:val="00304D46"/>
    <w:rsid w:val="00304FFD"/>
    <w:rsid w:val="00305300"/>
    <w:rsid w:val="00305304"/>
    <w:rsid w:val="00306655"/>
    <w:rsid w:val="00307135"/>
    <w:rsid w:val="00307514"/>
    <w:rsid w:val="00307DD5"/>
    <w:rsid w:val="003102B3"/>
    <w:rsid w:val="00310F5E"/>
    <w:rsid w:val="00311D2C"/>
    <w:rsid w:val="0031237D"/>
    <w:rsid w:val="00312682"/>
    <w:rsid w:val="00312C97"/>
    <w:rsid w:val="003130AC"/>
    <w:rsid w:val="00313732"/>
    <w:rsid w:val="0031396C"/>
    <w:rsid w:val="00313D24"/>
    <w:rsid w:val="003140DB"/>
    <w:rsid w:val="0031411A"/>
    <w:rsid w:val="00314CA6"/>
    <w:rsid w:val="00315935"/>
    <w:rsid w:val="003165B6"/>
    <w:rsid w:val="00316B6D"/>
    <w:rsid w:val="00316F08"/>
    <w:rsid w:val="00316F1B"/>
    <w:rsid w:val="00317EF9"/>
    <w:rsid w:val="003201C9"/>
    <w:rsid w:val="0032031A"/>
    <w:rsid w:val="00320767"/>
    <w:rsid w:val="00320EA3"/>
    <w:rsid w:val="00320F8B"/>
    <w:rsid w:val="00320F9F"/>
    <w:rsid w:val="00321677"/>
    <w:rsid w:val="003223BD"/>
    <w:rsid w:val="00322452"/>
    <w:rsid w:val="003227EB"/>
    <w:rsid w:val="00322864"/>
    <w:rsid w:val="00322F14"/>
    <w:rsid w:val="003232CA"/>
    <w:rsid w:val="00323540"/>
    <w:rsid w:val="003235A7"/>
    <w:rsid w:val="00323D35"/>
    <w:rsid w:val="003241D0"/>
    <w:rsid w:val="0032428D"/>
    <w:rsid w:val="00324365"/>
    <w:rsid w:val="00324694"/>
    <w:rsid w:val="00324F39"/>
    <w:rsid w:val="003252A0"/>
    <w:rsid w:val="00325984"/>
    <w:rsid w:val="00326464"/>
    <w:rsid w:val="003265C9"/>
    <w:rsid w:val="00326860"/>
    <w:rsid w:val="00327085"/>
    <w:rsid w:val="003272D1"/>
    <w:rsid w:val="0032730F"/>
    <w:rsid w:val="0032751A"/>
    <w:rsid w:val="00327FF9"/>
    <w:rsid w:val="00330147"/>
    <w:rsid w:val="00330DAD"/>
    <w:rsid w:val="0033157F"/>
    <w:rsid w:val="003317B4"/>
    <w:rsid w:val="00331B1D"/>
    <w:rsid w:val="0033241D"/>
    <w:rsid w:val="0033291F"/>
    <w:rsid w:val="00332C99"/>
    <w:rsid w:val="00332E35"/>
    <w:rsid w:val="00332E8A"/>
    <w:rsid w:val="00334257"/>
    <w:rsid w:val="0033578F"/>
    <w:rsid w:val="00335A09"/>
    <w:rsid w:val="0033680E"/>
    <w:rsid w:val="00336D56"/>
    <w:rsid w:val="003375AC"/>
    <w:rsid w:val="003376E7"/>
    <w:rsid w:val="00337AAC"/>
    <w:rsid w:val="0034133C"/>
    <w:rsid w:val="00341800"/>
    <w:rsid w:val="003419E1"/>
    <w:rsid w:val="003420B6"/>
    <w:rsid w:val="0034217F"/>
    <w:rsid w:val="00342C7D"/>
    <w:rsid w:val="00342DCC"/>
    <w:rsid w:val="003432A0"/>
    <w:rsid w:val="0034372A"/>
    <w:rsid w:val="00343E4A"/>
    <w:rsid w:val="003445D0"/>
    <w:rsid w:val="00345D2E"/>
    <w:rsid w:val="00346466"/>
    <w:rsid w:val="00346580"/>
    <w:rsid w:val="00346AA6"/>
    <w:rsid w:val="00346EF1"/>
    <w:rsid w:val="00347197"/>
    <w:rsid w:val="0034780C"/>
    <w:rsid w:val="00347CEA"/>
    <w:rsid w:val="00350545"/>
    <w:rsid w:val="003507B4"/>
    <w:rsid w:val="00350F6B"/>
    <w:rsid w:val="0035109E"/>
    <w:rsid w:val="00351449"/>
    <w:rsid w:val="00351993"/>
    <w:rsid w:val="00352486"/>
    <w:rsid w:val="00352F1B"/>
    <w:rsid w:val="0035331E"/>
    <w:rsid w:val="00353610"/>
    <w:rsid w:val="00353758"/>
    <w:rsid w:val="003537CE"/>
    <w:rsid w:val="00353B17"/>
    <w:rsid w:val="00354321"/>
    <w:rsid w:val="003549C0"/>
    <w:rsid w:val="00354A1E"/>
    <w:rsid w:val="00354C13"/>
    <w:rsid w:val="00354C47"/>
    <w:rsid w:val="003551CC"/>
    <w:rsid w:val="003552E9"/>
    <w:rsid w:val="0035543E"/>
    <w:rsid w:val="003560AF"/>
    <w:rsid w:val="00356379"/>
    <w:rsid w:val="0035676A"/>
    <w:rsid w:val="00356D85"/>
    <w:rsid w:val="00356FA4"/>
    <w:rsid w:val="00357811"/>
    <w:rsid w:val="0035789E"/>
    <w:rsid w:val="00360554"/>
    <w:rsid w:val="003606CC"/>
    <w:rsid w:val="00360AAB"/>
    <w:rsid w:val="00360D98"/>
    <w:rsid w:val="00361014"/>
    <w:rsid w:val="003610B8"/>
    <w:rsid w:val="003611AA"/>
    <w:rsid w:val="00361EAA"/>
    <w:rsid w:val="00362A1F"/>
    <w:rsid w:val="00362AFB"/>
    <w:rsid w:val="00362BFD"/>
    <w:rsid w:val="00363090"/>
    <w:rsid w:val="003633B1"/>
    <w:rsid w:val="00363569"/>
    <w:rsid w:val="00363E70"/>
    <w:rsid w:val="00364529"/>
    <w:rsid w:val="00364AD0"/>
    <w:rsid w:val="00364DEF"/>
    <w:rsid w:val="00365013"/>
    <w:rsid w:val="003650C6"/>
    <w:rsid w:val="00365D81"/>
    <w:rsid w:val="00366C85"/>
    <w:rsid w:val="00366E23"/>
    <w:rsid w:val="00367172"/>
    <w:rsid w:val="00367628"/>
    <w:rsid w:val="00367B2D"/>
    <w:rsid w:val="00367E2C"/>
    <w:rsid w:val="00370155"/>
    <w:rsid w:val="0037024F"/>
    <w:rsid w:val="00370340"/>
    <w:rsid w:val="003707AC"/>
    <w:rsid w:val="00370AA1"/>
    <w:rsid w:val="0037147A"/>
    <w:rsid w:val="003718A8"/>
    <w:rsid w:val="00372226"/>
    <w:rsid w:val="003734ED"/>
    <w:rsid w:val="00373EDD"/>
    <w:rsid w:val="00374486"/>
    <w:rsid w:val="00374560"/>
    <w:rsid w:val="00374A40"/>
    <w:rsid w:val="00374B43"/>
    <w:rsid w:val="00374C3C"/>
    <w:rsid w:val="00374D3E"/>
    <w:rsid w:val="00374F5E"/>
    <w:rsid w:val="00375950"/>
    <w:rsid w:val="003764F3"/>
    <w:rsid w:val="00376611"/>
    <w:rsid w:val="00376966"/>
    <w:rsid w:val="00376B7A"/>
    <w:rsid w:val="00376C09"/>
    <w:rsid w:val="00376D75"/>
    <w:rsid w:val="003771C6"/>
    <w:rsid w:val="00377A7A"/>
    <w:rsid w:val="00377AEC"/>
    <w:rsid w:val="00377F02"/>
    <w:rsid w:val="00380137"/>
    <w:rsid w:val="00380505"/>
    <w:rsid w:val="003806B2"/>
    <w:rsid w:val="00381075"/>
    <w:rsid w:val="00381106"/>
    <w:rsid w:val="00381650"/>
    <w:rsid w:val="00381CB6"/>
    <w:rsid w:val="00381F6D"/>
    <w:rsid w:val="003821F3"/>
    <w:rsid w:val="00382624"/>
    <w:rsid w:val="003828DF"/>
    <w:rsid w:val="00382BC5"/>
    <w:rsid w:val="00383F51"/>
    <w:rsid w:val="0038410D"/>
    <w:rsid w:val="00384554"/>
    <w:rsid w:val="0038546F"/>
    <w:rsid w:val="00385882"/>
    <w:rsid w:val="00385B79"/>
    <w:rsid w:val="00385D01"/>
    <w:rsid w:val="00386415"/>
    <w:rsid w:val="00386563"/>
    <w:rsid w:val="00386E17"/>
    <w:rsid w:val="00387501"/>
    <w:rsid w:val="00387766"/>
    <w:rsid w:val="00390912"/>
    <w:rsid w:val="00390B88"/>
    <w:rsid w:val="00391F85"/>
    <w:rsid w:val="00392081"/>
    <w:rsid w:val="00392184"/>
    <w:rsid w:val="00392207"/>
    <w:rsid w:val="003923EB"/>
    <w:rsid w:val="003927E5"/>
    <w:rsid w:val="00394275"/>
    <w:rsid w:val="0039449E"/>
    <w:rsid w:val="0039454B"/>
    <w:rsid w:val="00394D10"/>
    <w:rsid w:val="0039553A"/>
    <w:rsid w:val="0039666B"/>
    <w:rsid w:val="003969D5"/>
    <w:rsid w:val="003969D9"/>
    <w:rsid w:val="00396F66"/>
    <w:rsid w:val="003A0D33"/>
    <w:rsid w:val="003A0EAB"/>
    <w:rsid w:val="003A11D2"/>
    <w:rsid w:val="003A22B8"/>
    <w:rsid w:val="003A2503"/>
    <w:rsid w:val="003A28B6"/>
    <w:rsid w:val="003A2EA1"/>
    <w:rsid w:val="003A3252"/>
    <w:rsid w:val="003A384F"/>
    <w:rsid w:val="003A3FA4"/>
    <w:rsid w:val="003A4588"/>
    <w:rsid w:val="003A461B"/>
    <w:rsid w:val="003A466D"/>
    <w:rsid w:val="003A4834"/>
    <w:rsid w:val="003A4F6A"/>
    <w:rsid w:val="003A5385"/>
    <w:rsid w:val="003A58EB"/>
    <w:rsid w:val="003A5D63"/>
    <w:rsid w:val="003A61A8"/>
    <w:rsid w:val="003A61DC"/>
    <w:rsid w:val="003A63BA"/>
    <w:rsid w:val="003A64FE"/>
    <w:rsid w:val="003A6701"/>
    <w:rsid w:val="003A69FF"/>
    <w:rsid w:val="003A719D"/>
    <w:rsid w:val="003A759F"/>
    <w:rsid w:val="003A78F6"/>
    <w:rsid w:val="003B0D25"/>
    <w:rsid w:val="003B0E13"/>
    <w:rsid w:val="003B14A3"/>
    <w:rsid w:val="003B153E"/>
    <w:rsid w:val="003B176A"/>
    <w:rsid w:val="003B1964"/>
    <w:rsid w:val="003B2AD0"/>
    <w:rsid w:val="003B3115"/>
    <w:rsid w:val="003B3B46"/>
    <w:rsid w:val="003B3D69"/>
    <w:rsid w:val="003B4CCC"/>
    <w:rsid w:val="003B5231"/>
    <w:rsid w:val="003B553A"/>
    <w:rsid w:val="003B5C30"/>
    <w:rsid w:val="003B69F8"/>
    <w:rsid w:val="003B6B4E"/>
    <w:rsid w:val="003B6EEC"/>
    <w:rsid w:val="003B7345"/>
    <w:rsid w:val="003B77A5"/>
    <w:rsid w:val="003B78CB"/>
    <w:rsid w:val="003B7BD6"/>
    <w:rsid w:val="003C0CD9"/>
    <w:rsid w:val="003C105A"/>
    <w:rsid w:val="003C1667"/>
    <w:rsid w:val="003C2373"/>
    <w:rsid w:val="003C2BE8"/>
    <w:rsid w:val="003C4E4E"/>
    <w:rsid w:val="003C51C8"/>
    <w:rsid w:val="003C6363"/>
    <w:rsid w:val="003C6C7C"/>
    <w:rsid w:val="003C6DA7"/>
    <w:rsid w:val="003C76C3"/>
    <w:rsid w:val="003C788E"/>
    <w:rsid w:val="003C7E8A"/>
    <w:rsid w:val="003D0E49"/>
    <w:rsid w:val="003D196F"/>
    <w:rsid w:val="003D2C04"/>
    <w:rsid w:val="003D2F4E"/>
    <w:rsid w:val="003D302D"/>
    <w:rsid w:val="003D35F7"/>
    <w:rsid w:val="003D3613"/>
    <w:rsid w:val="003D4134"/>
    <w:rsid w:val="003D4254"/>
    <w:rsid w:val="003D429F"/>
    <w:rsid w:val="003D4B30"/>
    <w:rsid w:val="003D4C20"/>
    <w:rsid w:val="003D4CB8"/>
    <w:rsid w:val="003D4D88"/>
    <w:rsid w:val="003D5C7A"/>
    <w:rsid w:val="003D5DA3"/>
    <w:rsid w:val="003D60F7"/>
    <w:rsid w:val="003D71A3"/>
    <w:rsid w:val="003D7461"/>
    <w:rsid w:val="003E00EC"/>
    <w:rsid w:val="003E03C3"/>
    <w:rsid w:val="003E03EF"/>
    <w:rsid w:val="003E0F8D"/>
    <w:rsid w:val="003E17B4"/>
    <w:rsid w:val="003E1815"/>
    <w:rsid w:val="003E1C84"/>
    <w:rsid w:val="003E2369"/>
    <w:rsid w:val="003E23E6"/>
    <w:rsid w:val="003E2451"/>
    <w:rsid w:val="003E286C"/>
    <w:rsid w:val="003E2B56"/>
    <w:rsid w:val="003E33BA"/>
    <w:rsid w:val="003E38A6"/>
    <w:rsid w:val="003E3C33"/>
    <w:rsid w:val="003E4406"/>
    <w:rsid w:val="003E5187"/>
    <w:rsid w:val="003E5621"/>
    <w:rsid w:val="003E58F0"/>
    <w:rsid w:val="003E5934"/>
    <w:rsid w:val="003E5950"/>
    <w:rsid w:val="003E5BCA"/>
    <w:rsid w:val="003E5ED5"/>
    <w:rsid w:val="003E6009"/>
    <w:rsid w:val="003E61FF"/>
    <w:rsid w:val="003E6408"/>
    <w:rsid w:val="003E65F7"/>
    <w:rsid w:val="003E666B"/>
    <w:rsid w:val="003E70B0"/>
    <w:rsid w:val="003E7F6E"/>
    <w:rsid w:val="003F064B"/>
    <w:rsid w:val="003F088C"/>
    <w:rsid w:val="003F0B71"/>
    <w:rsid w:val="003F1265"/>
    <w:rsid w:val="003F140C"/>
    <w:rsid w:val="003F17DC"/>
    <w:rsid w:val="003F1AAC"/>
    <w:rsid w:val="003F1CAC"/>
    <w:rsid w:val="003F22AE"/>
    <w:rsid w:val="003F26A2"/>
    <w:rsid w:val="003F2AA9"/>
    <w:rsid w:val="003F3529"/>
    <w:rsid w:val="003F36A4"/>
    <w:rsid w:val="003F3A58"/>
    <w:rsid w:val="003F4810"/>
    <w:rsid w:val="003F4BD9"/>
    <w:rsid w:val="003F564F"/>
    <w:rsid w:val="003F5AD0"/>
    <w:rsid w:val="003F64CB"/>
    <w:rsid w:val="003F6589"/>
    <w:rsid w:val="003F70D3"/>
    <w:rsid w:val="003F7CEA"/>
    <w:rsid w:val="004009CC"/>
    <w:rsid w:val="00400E91"/>
    <w:rsid w:val="00401D73"/>
    <w:rsid w:val="00401EE5"/>
    <w:rsid w:val="00401F3A"/>
    <w:rsid w:val="004021C2"/>
    <w:rsid w:val="00402692"/>
    <w:rsid w:val="00402D7C"/>
    <w:rsid w:val="00403149"/>
    <w:rsid w:val="004038D6"/>
    <w:rsid w:val="0040395A"/>
    <w:rsid w:val="004041AE"/>
    <w:rsid w:val="004044D7"/>
    <w:rsid w:val="004044DC"/>
    <w:rsid w:val="004046F7"/>
    <w:rsid w:val="0040470C"/>
    <w:rsid w:val="00404F49"/>
    <w:rsid w:val="0040501F"/>
    <w:rsid w:val="004056A3"/>
    <w:rsid w:val="00405A12"/>
    <w:rsid w:val="00406AF9"/>
    <w:rsid w:val="0040785E"/>
    <w:rsid w:val="00410097"/>
    <w:rsid w:val="004102A0"/>
    <w:rsid w:val="004106FE"/>
    <w:rsid w:val="0041085A"/>
    <w:rsid w:val="00410D8C"/>
    <w:rsid w:val="0041131A"/>
    <w:rsid w:val="00412185"/>
    <w:rsid w:val="00412565"/>
    <w:rsid w:val="0041297B"/>
    <w:rsid w:val="00412A66"/>
    <w:rsid w:val="00412EAC"/>
    <w:rsid w:val="0041336D"/>
    <w:rsid w:val="004139B3"/>
    <w:rsid w:val="00415466"/>
    <w:rsid w:val="004161CF"/>
    <w:rsid w:val="00416299"/>
    <w:rsid w:val="00416650"/>
    <w:rsid w:val="00416F9A"/>
    <w:rsid w:val="00417248"/>
    <w:rsid w:val="00417351"/>
    <w:rsid w:val="0041735C"/>
    <w:rsid w:val="00417851"/>
    <w:rsid w:val="00417CEB"/>
    <w:rsid w:val="00417F86"/>
    <w:rsid w:val="00423337"/>
    <w:rsid w:val="00423617"/>
    <w:rsid w:val="004241D5"/>
    <w:rsid w:val="00425407"/>
    <w:rsid w:val="00425632"/>
    <w:rsid w:val="004268E3"/>
    <w:rsid w:val="00426A0D"/>
    <w:rsid w:val="00426AFC"/>
    <w:rsid w:val="00426F71"/>
    <w:rsid w:val="0042783D"/>
    <w:rsid w:val="004278CE"/>
    <w:rsid w:val="00427E82"/>
    <w:rsid w:val="0043051A"/>
    <w:rsid w:val="0043176E"/>
    <w:rsid w:val="004318BF"/>
    <w:rsid w:val="004323D6"/>
    <w:rsid w:val="004331EB"/>
    <w:rsid w:val="00434184"/>
    <w:rsid w:val="004341A9"/>
    <w:rsid w:val="0043475D"/>
    <w:rsid w:val="00434BB2"/>
    <w:rsid w:val="0043543F"/>
    <w:rsid w:val="004357A0"/>
    <w:rsid w:val="00436063"/>
    <w:rsid w:val="00436425"/>
    <w:rsid w:val="00436F0C"/>
    <w:rsid w:val="004370A5"/>
    <w:rsid w:val="004372AD"/>
    <w:rsid w:val="004375CD"/>
    <w:rsid w:val="0043767E"/>
    <w:rsid w:val="00440CD9"/>
    <w:rsid w:val="00440DF5"/>
    <w:rsid w:val="00440EA7"/>
    <w:rsid w:val="00441240"/>
    <w:rsid w:val="00441E3F"/>
    <w:rsid w:val="00442052"/>
    <w:rsid w:val="004426E7"/>
    <w:rsid w:val="00442983"/>
    <w:rsid w:val="004429E7"/>
    <w:rsid w:val="00443198"/>
    <w:rsid w:val="00444EAD"/>
    <w:rsid w:val="00445AF6"/>
    <w:rsid w:val="00445C88"/>
    <w:rsid w:val="0044692F"/>
    <w:rsid w:val="00450271"/>
    <w:rsid w:val="004504EE"/>
    <w:rsid w:val="00451530"/>
    <w:rsid w:val="00452550"/>
    <w:rsid w:val="00452BDB"/>
    <w:rsid w:val="00452E9B"/>
    <w:rsid w:val="004532AC"/>
    <w:rsid w:val="004539E0"/>
    <w:rsid w:val="00454177"/>
    <w:rsid w:val="00454CB8"/>
    <w:rsid w:val="00454DEC"/>
    <w:rsid w:val="00455BA7"/>
    <w:rsid w:val="004566D4"/>
    <w:rsid w:val="00456AE7"/>
    <w:rsid w:val="00456F0D"/>
    <w:rsid w:val="00456FC6"/>
    <w:rsid w:val="004571C8"/>
    <w:rsid w:val="004604FD"/>
    <w:rsid w:val="00460BFB"/>
    <w:rsid w:val="0046101E"/>
    <w:rsid w:val="00461315"/>
    <w:rsid w:val="004616EB"/>
    <w:rsid w:val="004625CA"/>
    <w:rsid w:val="004626CD"/>
    <w:rsid w:val="004630CB"/>
    <w:rsid w:val="0046348E"/>
    <w:rsid w:val="00463AF9"/>
    <w:rsid w:val="00463F82"/>
    <w:rsid w:val="0046401E"/>
    <w:rsid w:val="004644AD"/>
    <w:rsid w:val="00464705"/>
    <w:rsid w:val="00464764"/>
    <w:rsid w:val="00464B25"/>
    <w:rsid w:val="00464D2B"/>
    <w:rsid w:val="00465812"/>
    <w:rsid w:val="00465E77"/>
    <w:rsid w:val="00465FFC"/>
    <w:rsid w:val="00466509"/>
    <w:rsid w:val="00466666"/>
    <w:rsid w:val="004666B3"/>
    <w:rsid w:val="00466E33"/>
    <w:rsid w:val="00466FE1"/>
    <w:rsid w:val="0046725D"/>
    <w:rsid w:val="004674A3"/>
    <w:rsid w:val="00467FBB"/>
    <w:rsid w:val="00470098"/>
    <w:rsid w:val="00470671"/>
    <w:rsid w:val="004706FF"/>
    <w:rsid w:val="0047095F"/>
    <w:rsid w:val="00470C84"/>
    <w:rsid w:val="00471B9C"/>
    <w:rsid w:val="00471D01"/>
    <w:rsid w:val="00472298"/>
    <w:rsid w:val="00472637"/>
    <w:rsid w:val="00472740"/>
    <w:rsid w:val="00472A74"/>
    <w:rsid w:val="00473582"/>
    <w:rsid w:val="00473916"/>
    <w:rsid w:val="00473FB5"/>
    <w:rsid w:val="00474858"/>
    <w:rsid w:val="004749E6"/>
    <w:rsid w:val="00474D63"/>
    <w:rsid w:val="00474FD3"/>
    <w:rsid w:val="00475097"/>
    <w:rsid w:val="00475652"/>
    <w:rsid w:val="004761B7"/>
    <w:rsid w:val="00476695"/>
    <w:rsid w:val="00476B82"/>
    <w:rsid w:val="00477984"/>
    <w:rsid w:val="00477D4B"/>
    <w:rsid w:val="004801F2"/>
    <w:rsid w:val="0048040D"/>
    <w:rsid w:val="00480598"/>
    <w:rsid w:val="004819AD"/>
    <w:rsid w:val="0048248C"/>
    <w:rsid w:val="00482B10"/>
    <w:rsid w:val="00483AF7"/>
    <w:rsid w:val="00483BFD"/>
    <w:rsid w:val="00483BFE"/>
    <w:rsid w:val="00483EF1"/>
    <w:rsid w:val="0048434B"/>
    <w:rsid w:val="00484690"/>
    <w:rsid w:val="00484744"/>
    <w:rsid w:val="0048582B"/>
    <w:rsid w:val="00485ACA"/>
    <w:rsid w:val="00485B03"/>
    <w:rsid w:val="00485E1F"/>
    <w:rsid w:val="00485F07"/>
    <w:rsid w:val="004864BE"/>
    <w:rsid w:val="00486787"/>
    <w:rsid w:val="00486AA7"/>
    <w:rsid w:val="004871F4"/>
    <w:rsid w:val="00487A6E"/>
    <w:rsid w:val="0049009E"/>
    <w:rsid w:val="0049023F"/>
    <w:rsid w:val="00490F7B"/>
    <w:rsid w:val="004912C7"/>
    <w:rsid w:val="00491879"/>
    <w:rsid w:val="004919B0"/>
    <w:rsid w:val="00491B52"/>
    <w:rsid w:val="0049201F"/>
    <w:rsid w:val="00492462"/>
    <w:rsid w:val="00492FF6"/>
    <w:rsid w:val="0049413E"/>
    <w:rsid w:val="00495255"/>
    <w:rsid w:val="00495AD7"/>
    <w:rsid w:val="00495D57"/>
    <w:rsid w:val="00496B05"/>
    <w:rsid w:val="00496B88"/>
    <w:rsid w:val="00496EBB"/>
    <w:rsid w:val="004973E6"/>
    <w:rsid w:val="004976C0"/>
    <w:rsid w:val="004978FE"/>
    <w:rsid w:val="00497AA4"/>
    <w:rsid w:val="00497D60"/>
    <w:rsid w:val="004A07C0"/>
    <w:rsid w:val="004A0952"/>
    <w:rsid w:val="004A0E52"/>
    <w:rsid w:val="004A0E9B"/>
    <w:rsid w:val="004A10EA"/>
    <w:rsid w:val="004A1FC9"/>
    <w:rsid w:val="004A20AA"/>
    <w:rsid w:val="004A22C1"/>
    <w:rsid w:val="004A2A7E"/>
    <w:rsid w:val="004A32E7"/>
    <w:rsid w:val="004A4735"/>
    <w:rsid w:val="004A48E5"/>
    <w:rsid w:val="004A4BDE"/>
    <w:rsid w:val="004A4F04"/>
    <w:rsid w:val="004A61EA"/>
    <w:rsid w:val="004A671C"/>
    <w:rsid w:val="004A6924"/>
    <w:rsid w:val="004A6E4B"/>
    <w:rsid w:val="004A6EE9"/>
    <w:rsid w:val="004A6FD4"/>
    <w:rsid w:val="004A7074"/>
    <w:rsid w:val="004A782E"/>
    <w:rsid w:val="004A7D4D"/>
    <w:rsid w:val="004A7D86"/>
    <w:rsid w:val="004B0159"/>
    <w:rsid w:val="004B07DD"/>
    <w:rsid w:val="004B08DE"/>
    <w:rsid w:val="004B0DDE"/>
    <w:rsid w:val="004B101E"/>
    <w:rsid w:val="004B172C"/>
    <w:rsid w:val="004B1B33"/>
    <w:rsid w:val="004B1DF2"/>
    <w:rsid w:val="004B1F1A"/>
    <w:rsid w:val="004B1F71"/>
    <w:rsid w:val="004B2435"/>
    <w:rsid w:val="004B2692"/>
    <w:rsid w:val="004B2735"/>
    <w:rsid w:val="004B3082"/>
    <w:rsid w:val="004B339D"/>
    <w:rsid w:val="004B3977"/>
    <w:rsid w:val="004B3B1C"/>
    <w:rsid w:val="004B3FE4"/>
    <w:rsid w:val="004B4116"/>
    <w:rsid w:val="004B45F4"/>
    <w:rsid w:val="004B4DA7"/>
    <w:rsid w:val="004B5888"/>
    <w:rsid w:val="004B5B63"/>
    <w:rsid w:val="004B6583"/>
    <w:rsid w:val="004B682F"/>
    <w:rsid w:val="004B68D6"/>
    <w:rsid w:val="004B6CB6"/>
    <w:rsid w:val="004B7074"/>
    <w:rsid w:val="004B7082"/>
    <w:rsid w:val="004B7809"/>
    <w:rsid w:val="004B7CB6"/>
    <w:rsid w:val="004C084A"/>
    <w:rsid w:val="004C08F1"/>
    <w:rsid w:val="004C0A1B"/>
    <w:rsid w:val="004C1159"/>
    <w:rsid w:val="004C11E1"/>
    <w:rsid w:val="004C12BF"/>
    <w:rsid w:val="004C1394"/>
    <w:rsid w:val="004C144E"/>
    <w:rsid w:val="004C1C72"/>
    <w:rsid w:val="004C1E69"/>
    <w:rsid w:val="004C2594"/>
    <w:rsid w:val="004C2A70"/>
    <w:rsid w:val="004C3074"/>
    <w:rsid w:val="004C32A6"/>
    <w:rsid w:val="004C32E4"/>
    <w:rsid w:val="004C332C"/>
    <w:rsid w:val="004C333D"/>
    <w:rsid w:val="004C36EA"/>
    <w:rsid w:val="004C377E"/>
    <w:rsid w:val="004C3791"/>
    <w:rsid w:val="004C4051"/>
    <w:rsid w:val="004C42C3"/>
    <w:rsid w:val="004C4DB3"/>
    <w:rsid w:val="004C4E92"/>
    <w:rsid w:val="004C59D8"/>
    <w:rsid w:val="004C5F8A"/>
    <w:rsid w:val="004C63C5"/>
    <w:rsid w:val="004C6597"/>
    <w:rsid w:val="004C6A8F"/>
    <w:rsid w:val="004C726A"/>
    <w:rsid w:val="004C785B"/>
    <w:rsid w:val="004C7B15"/>
    <w:rsid w:val="004C7CC4"/>
    <w:rsid w:val="004C7DA7"/>
    <w:rsid w:val="004C7DC6"/>
    <w:rsid w:val="004D0313"/>
    <w:rsid w:val="004D03AA"/>
    <w:rsid w:val="004D0557"/>
    <w:rsid w:val="004D0B79"/>
    <w:rsid w:val="004D0E8D"/>
    <w:rsid w:val="004D108B"/>
    <w:rsid w:val="004D1404"/>
    <w:rsid w:val="004D1B8A"/>
    <w:rsid w:val="004D1D89"/>
    <w:rsid w:val="004D1F30"/>
    <w:rsid w:val="004D21F2"/>
    <w:rsid w:val="004D2A27"/>
    <w:rsid w:val="004D2ACB"/>
    <w:rsid w:val="004D2E5A"/>
    <w:rsid w:val="004D32A8"/>
    <w:rsid w:val="004D3350"/>
    <w:rsid w:val="004D4696"/>
    <w:rsid w:val="004D4A41"/>
    <w:rsid w:val="004D4ADE"/>
    <w:rsid w:val="004D4BC9"/>
    <w:rsid w:val="004D4DDE"/>
    <w:rsid w:val="004D549D"/>
    <w:rsid w:val="004D5FB4"/>
    <w:rsid w:val="004D62C1"/>
    <w:rsid w:val="004D63F2"/>
    <w:rsid w:val="004D66C3"/>
    <w:rsid w:val="004D7580"/>
    <w:rsid w:val="004D7B5B"/>
    <w:rsid w:val="004E058F"/>
    <w:rsid w:val="004E07E2"/>
    <w:rsid w:val="004E0867"/>
    <w:rsid w:val="004E09FF"/>
    <w:rsid w:val="004E0B5E"/>
    <w:rsid w:val="004E0E29"/>
    <w:rsid w:val="004E104A"/>
    <w:rsid w:val="004E16D1"/>
    <w:rsid w:val="004E17AA"/>
    <w:rsid w:val="004E1E1D"/>
    <w:rsid w:val="004E246A"/>
    <w:rsid w:val="004E262C"/>
    <w:rsid w:val="004E2E5B"/>
    <w:rsid w:val="004E3671"/>
    <w:rsid w:val="004E3E00"/>
    <w:rsid w:val="004E45D7"/>
    <w:rsid w:val="004E492D"/>
    <w:rsid w:val="004E4D05"/>
    <w:rsid w:val="004E4D68"/>
    <w:rsid w:val="004E55A8"/>
    <w:rsid w:val="004E5F1B"/>
    <w:rsid w:val="004E63CA"/>
    <w:rsid w:val="004E6445"/>
    <w:rsid w:val="004E653B"/>
    <w:rsid w:val="004E6CC9"/>
    <w:rsid w:val="004E71F9"/>
    <w:rsid w:val="004E7E47"/>
    <w:rsid w:val="004F0050"/>
    <w:rsid w:val="004F0EFD"/>
    <w:rsid w:val="004F0F2D"/>
    <w:rsid w:val="004F1D5E"/>
    <w:rsid w:val="004F2150"/>
    <w:rsid w:val="004F28C1"/>
    <w:rsid w:val="004F362D"/>
    <w:rsid w:val="004F3A1E"/>
    <w:rsid w:val="004F458C"/>
    <w:rsid w:val="004F61DD"/>
    <w:rsid w:val="004F6625"/>
    <w:rsid w:val="004F6BB2"/>
    <w:rsid w:val="004F7C29"/>
    <w:rsid w:val="00500AA0"/>
    <w:rsid w:val="00500AD1"/>
    <w:rsid w:val="00500C70"/>
    <w:rsid w:val="00500D09"/>
    <w:rsid w:val="00501EBB"/>
    <w:rsid w:val="005021A3"/>
    <w:rsid w:val="00502609"/>
    <w:rsid w:val="00502745"/>
    <w:rsid w:val="00503104"/>
    <w:rsid w:val="00503840"/>
    <w:rsid w:val="005046AD"/>
    <w:rsid w:val="00504D76"/>
    <w:rsid w:val="00504FA7"/>
    <w:rsid w:val="00505608"/>
    <w:rsid w:val="00505D0C"/>
    <w:rsid w:val="00506BF4"/>
    <w:rsid w:val="00506DFA"/>
    <w:rsid w:val="00506E6A"/>
    <w:rsid w:val="005071BC"/>
    <w:rsid w:val="00507610"/>
    <w:rsid w:val="00507712"/>
    <w:rsid w:val="0051068C"/>
    <w:rsid w:val="00510825"/>
    <w:rsid w:val="0051146C"/>
    <w:rsid w:val="00511B19"/>
    <w:rsid w:val="00511F9B"/>
    <w:rsid w:val="00512C2B"/>
    <w:rsid w:val="00512C7F"/>
    <w:rsid w:val="005138C3"/>
    <w:rsid w:val="00514051"/>
    <w:rsid w:val="005141B1"/>
    <w:rsid w:val="005143A1"/>
    <w:rsid w:val="005143FB"/>
    <w:rsid w:val="0051449C"/>
    <w:rsid w:val="00515110"/>
    <w:rsid w:val="005151C1"/>
    <w:rsid w:val="00515239"/>
    <w:rsid w:val="0051574E"/>
    <w:rsid w:val="0051589A"/>
    <w:rsid w:val="00515C81"/>
    <w:rsid w:val="00515FC3"/>
    <w:rsid w:val="00516EB3"/>
    <w:rsid w:val="00517B1A"/>
    <w:rsid w:val="00517CD6"/>
    <w:rsid w:val="0052042F"/>
    <w:rsid w:val="0052097C"/>
    <w:rsid w:val="00521534"/>
    <w:rsid w:val="005215B9"/>
    <w:rsid w:val="00521A04"/>
    <w:rsid w:val="005222FF"/>
    <w:rsid w:val="00522717"/>
    <w:rsid w:val="005227AB"/>
    <w:rsid w:val="005227C1"/>
    <w:rsid w:val="00522AB2"/>
    <w:rsid w:val="0052379C"/>
    <w:rsid w:val="00523D60"/>
    <w:rsid w:val="0052484C"/>
    <w:rsid w:val="005249EE"/>
    <w:rsid w:val="0052593A"/>
    <w:rsid w:val="00525983"/>
    <w:rsid w:val="00525A61"/>
    <w:rsid w:val="00525B8C"/>
    <w:rsid w:val="00526409"/>
    <w:rsid w:val="00526CC8"/>
    <w:rsid w:val="00527446"/>
    <w:rsid w:val="00531430"/>
    <w:rsid w:val="0053247B"/>
    <w:rsid w:val="00532482"/>
    <w:rsid w:val="005328A6"/>
    <w:rsid w:val="00532E3B"/>
    <w:rsid w:val="00533162"/>
    <w:rsid w:val="00533240"/>
    <w:rsid w:val="005337D0"/>
    <w:rsid w:val="00534A90"/>
    <w:rsid w:val="00535174"/>
    <w:rsid w:val="00535CB5"/>
    <w:rsid w:val="00535D0B"/>
    <w:rsid w:val="00536152"/>
    <w:rsid w:val="00537B45"/>
    <w:rsid w:val="00537E0B"/>
    <w:rsid w:val="00540234"/>
    <w:rsid w:val="00540B6F"/>
    <w:rsid w:val="005410AF"/>
    <w:rsid w:val="00541711"/>
    <w:rsid w:val="00541B65"/>
    <w:rsid w:val="005429E5"/>
    <w:rsid w:val="00542E5E"/>
    <w:rsid w:val="00543412"/>
    <w:rsid w:val="005439CC"/>
    <w:rsid w:val="005439F1"/>
    <w:rsid w:val="00543E65"/>
    <w:rsid w:val="00543F18"/>
    <w:rsid w:val="00544478"/>
    <w:rsid w:val="00544991"/>
    <w:rsid w:val="00544DD6"/>
    <w:rsid w:val="00545023"/>
    <w:rsid w:val="0054518D"/>
    <w:rsid w:val="00545639"/>
    <w:rsid w:val="0054581C"/>
    <w:rsid w:val="0054618C"/>
    <w:rsid w:val="0054661B"/>
    <w:rsid w:val="00546C97"/>
    <w:rsid w:val="00546FE2"/>
    <w:rsid w:val="005473DE"/>
    <w:rsid w:val="005505E7"/>
    <w:rsid w:val="005506F0"/>
    <w:rsid w:val="0055072D"/>
    <w:rsid w:val="00550894"/>
    <w:rsid w:val="00550A36"/>
    <w:rsid w:val="00550C98"/>
    <w:rsid w:val="0055105B"/>
    <w:rsid w:val="00551790"/>
    <w:rsid w:val="00552214"/>
    <w:rsid w:val="00552C7B"/>
    <w:rsid w:val="00552FD6"/>
    <w:rsid w:val="0055309F"/>
    <w:rsid w:val="005532E4"/>
    <w:rsid w:val="00553424"/>
    <w:rsid w:val="00553549"/>
    <w:rsid w:val="0055385A"/>
    <w:rsid w:val="00553AD1"/>
    <w:rsid w:val="00554E0B"/>
    <w:rsid w:val="005558B2"/>
    <w:rsid w:val="00555B01"/>
    <w:rsid w:val="00555B49"/>
    <w:rsid w:val="00555E63"/>
    <w:rsid w:val="005561E7"/>
    <w:rsid w:val="00556281"/>
    <w:rsid w:val="0055640C"/>
    <w:rsid w:val="005565C7"/>
    <w:rsid w:val="005566E9"/>
    <w:rsid w:val="00556E16"/>
    <w:rsid w:val="005570D2"/>
    <w:rsid w:val="00557470"/>
    <w:rsid w:val="0055752C"/>
    <w:rsid w:val="00560805"/>
    <w:rsid w:val="00560AAA"/>
    <w:rsid w:val="00560F6F"/>
    <w:rsid w:val="0056117B"/>
    <w:rsid w:val="005611C9"/>
    <w:rsid w:val="00561344"/>
    <w:rsid w:val="005641AF"/>
    <w:rsid w:val="00566316"/>
    <w:rsid w:val="005667D3"/>
    <w:rsid w:val="00571F2E"/>
    <w:rsid w:val="00571F8D"/>
    <w:rsid w:val="005722C5"/>
    <w:rsid w:val="0057238C"/>
    <w:rsid w:val="00572504"/>
    <w:rsid w:val="00572656"/>
    <w:rsid w:val="00572E6D"/>
    <w:rsid w:val="005730DE"/>
    <w:rsid w:val="00573F34"/>
    <w:rsid w:val="005745B0"/>
    <w:rsid w:val="00574F58"/>
    <w:rsid w:val="0057530A"/>
    <w:rsid w:val="00575A0E"/>
    <w:rsid w:val="00576438"/>
    <w:rsid w:val="00576F4D"/>
    <w:rsid w:val="005771F2"/>
    <w:rsid w:val="00577345"/>
    <w:rsid w:val="00577C74"/>
    <w:rsid w:val="00577FBC"/>
    <w:rsid w:val="00580214"/>
    <w:rsid w:val="0058030B"/>
    <w:rsid w:val="005808CF"/>
    <w:rsid w:val="005812FC"/>
    <w:rsid w:val="0058239A"/>
    <w:rsid w:val="005825D5"/>
    <w:rsid w:val="005826AE"/>
    <w:rsid w:val="005849A2"/>
    <w:rsid w:val="00584B60"/>
    <w:rsid w:val="00584F86"/>
    <w:rsid w:val="00585040"/>
    <w:rsid w:val="00585240"/>
    <w:rsid w:val="00585438"/>
    <w:rsid w:val="00585A6F"/>
    <w:rsid w:val="00585C7A"/>
    <w:rsid w:val="00585C7F"/>
    <w:rsid w:val="00585E58"/>
    <w:rsid w:val="00585F77"/>
    <w:rsid w:val="005864BA"/>
    <w:rsid w:val="005867BF"/>
    <w:rsid w:val="0059014B"/>
    <w:rsid w:val="005904E0"/>
    <w:rsid w:val="0059122C"/>
    <w:rsid w:val="0059188B"/>
    <w:rsid w:val="00591ADD"/>
    <w:rsid w:val="00592144"/>
    <w:rsid w:val="005927CF"/>
    <w:rsid w:val="00592864"/>
    <w:rsid w:val="00592DB6"/>
    <w:rsid w:val="00592E20"/>
    <w:rsid w:val="00592EAF"/>
    <w:rsid w:val="00593083"/>
    <w:rsid w:val="00593A41"/>
    <w:rsid w:val="00594232"/>
    <w:rsid w:val="00594A9A"/>
    <w:rsid w:val="00595DE6"/>
    <w:rsid w:val="00596C5D"/>
    <w:rsid w:val="00597D96"/>
    <w:rsid w:val="005A1989"/>
    <w:rsid w:val="005A2403"/>
    <w:rsid w:val="005A2888"/>
    <w:rsid w:val="005A2E9E"/>
    <w:rsid w:val="005A3BAB"/>
    <w:rsid w:val="005A4A09"/>
    <w:rsid w:val="005A4A40"/>
    <w:rsid w:val="005A4EE2"/>
    <w:rsid w:val="005A64F7"/>
    <w:rsid w:val="005A686F"/>
    <w:rsid w:val="005A77B2"/>
    <w:rsid w:val="005A79C3"/>
    <w:rsid w:val="005B03BA"/>
    <w:rsid w:val="005B0D12"/>
    <w:rsid w:val="005B1226"/>
    <w:rsid w:val="005B1A81"/>
    <w:rsid w:val="005B1E04"/>
    <w:rsid w:val="005B1E0B"/>
    <w:rsid w:val="005B25A4"/>
    <w:rsid w:val="005B271C"/>
    <w:rsid w:val="005B27A0"/>
    <w:rsid w:val="005B2B16"/>
    <w:rsid w:val="005B354D"/>
    <w:rsid w:val="005B387F"/>
    <w:rsid w:val="005B3D12"/>
    <w:rsid w:val="005B496D"/>
    <w:rsid w:val="005B7128"/>
    <w:rsid w:val="005B717C"/>
    <w:rsid w:val="005B743C"/>
    <w:rsid w:val="005B794C"/>
    <w:rsid w:val="005B7B19"/>
    <w:rsid w:val="005B7C57"/>
    <w:rsid w:val="005C0B30"/>
    <w:rsid w:val="005C0C4D"/>
    <w:rsid w:val="005C151A"/>
    <w:rsid w:val="005C18E3"/>
    <w:rsid w:val="005C1B13"/>
    <w:rsid w:val="005C1FDE"/>
    <w:rsid w:val="005C20B6"/>
    <w:rsid w:val="005C21D0"/>
    <w:rsid w:val="005C24DF"/>
    <w:rsid w:val="005C2E13"/>
    <w:rsid w:val="005C3286"/>
    <w:rsid w:val="005C3DBE"/>
    <w:rsid w:val="005C3E9A"/>
    <w:rsid w:val="005C3EFF"/>
    <w:rsid w:val="005C4116"/>
    <w:rsid w:val="005C44F6"/>
    <w:rsid w:val="005C45DC"/>
    <w:rsid w:val="005C54B8"/>
    <w:rsid w:val="005C5721"/>
    <w:rsid w:val="005C608C"/>
    <w:rsid w:val="005C6425"/>
    <w:rsid w:val="005C66CA"/>
    <w:rsid w:val="005C676A"/>
    <w:rsid w:val="005C7223"/>
    <w:rsid w:val="005C73A6"/>
    <w:rsid w:val="005C7F5E"/>
    <w:rsid w:val="005D0250"/>
    <w:rsid w:val="005D04B5"/>
    <w:rsid w:val="005D04F7"/>
    <w:rsid w:val="005D0522"/>
    <w:rsid w:val="005D05E5"/>
    <w:rsid w:val="005D0E9D"/>
    <w:rsid w:val="005D177E"/>
    <w:rsid w:val="005D2235"/>
    <w:rsid w:val="005D2868"/>
    <w:rsid w:val="005D5038"/>
    <w:rsid w:val="005D5176"/>
    <w:rsid w:val="005D614A"/>
    <w:rsid w:val="005D643C"/>
    <w:rsid w:val="005D6701"/>
    <w:rsid w:val="005D6A1B"/>
    <w:rsid w:val="005D6EFF"/>
    <w:rsid w:val="005D764C"/>
    <w:rsid w:val="005D7747"/>
    <w:rsid w:val="005D78F2"/>
    <w:rsid w:val="005D7911"/>
    <w:rsid w:val="005E0B16"/>
    <w:rsid w:val="005E16FE"/>
    <w:rsid w:val="005E1F2D"/>
    <w:rsid w:val="005E3207"/>
    <w:rsid w:val="005E37F9"/>
    <w:rsid w:val="005E396E"/>
    <w:rsid w:val="005E3F4A"/>
    <w:rsid w:val="005E4450"/>
    <w:rsid w:val="005E47E8"/>
    <w:rsid w:val="005E4B32"/>
    <w:rsid w:val="005E4E22"/>
    <w:rsid w:val="005E5085"/>
    <w:rsid w:val="005E50D5"/>
    <w:rsid w:val="005E54A2"/>
    <w:rsid w:val="005E599C"/>
    <w:rsid w:val="005E656B"/>
    <w:rsid w:val="005E66D1"/>
    <w:rsid w:val="005E686B"/>
    <w:rsid w:val="005E6C42"/>
    <w:rsid w:val="005E6DC2"/>
    <w:rsid w:val="005E6F22"/>
    <w:rsid w:val="005F1E88"/>
    <w:rsid w:val="005F21F4"/>
    <w:rsid w:val="005F24B4"/>
    <w:rsid w:val="005F420C"/>
    <w:rsid w:val="005F4C58"/>
    <w:rsid w:val="005F4E41"/>
    <w:rsid w:val="005F52AC"/>
    <w:rsid w:val="005F6A3A"/>
    <w:rsid w:val="005F6C8A"/>
    <w:rsid w:val="005F6DC3"/>
    <w:rsid w:val="005F6F1F"/>
    <w:rsid w:val="005F77D8"/>
    <w:rsid w:val="00600B29"/>
    <w:rsid w:val="00601CE6"/>
    <w:rsid w:val="0060224D"/>
    <w:rsid w:val="006023BB"/>
    <w:rsid w:val="00602505"/>
    <w:rsid w:val="00602709"/>
    <w:rsid w:val="00602A3D"/>
    <w:rsid w:val="00602B92"/>
    <w:rsid w:val="00602BAD"/>
    <w:rsid w:val="00602FE9"/>
    <w:rsid w:val="00603844"/>
    <w:rsid w:val="00603E2B"/>
    <w:rsid w:val="006040B1"/>
    <w:rsid w:val="00604200"/>
    <w:rsid w:val="0060434F"/>
    <w:rsid w:val="006046C5"/>
    <w:rsid w:val="006047DB"/>
    <w:rsid w:val="0060530F"/>
    <w:rsid w:val="00606400"/>
    <w:rsid w:val="00606476"/>
    <w:rsid w:val="00606D6C"/>
    <w:rsid w:val="0060708B"/>
    <w:rsid w:val="00607C62"/>
    <w:rsid w:val="00610247"/>
    <w:rsid w:val="00610413"/>
    <w:rsid w:val="006105CC"/>
    <w:rsid w:val="00611F2F"/>
    <w:rsid w:val="00612350"/>
    <w:rsid w:val="0061295A"/>
    <w:rsid w:val="006132C5"/>
    <w:rsid w:val="00613DA2"/>
    <w:rsid w:val="006141BE"/>
    <w:rsid w:val="0061446B"/>
    <w:rsid w:val="0061469A"/>
    <w:rsid w:val="00615F49"/>
    <w:rsid w:val="00616192"/>
    <w:rsid w:val="00617176"/>
    <w:rsid w:val="00617A2F"/>
    <w:rsid w:val="00617ADE"/>
    <w:rsid w:val="00617DFF"/>
    <w:rsid w:val="00620513"/>
    <w:rsid w:val="006205A2"/>
    <w:rsid w:val="00620BE5"/>
    <w:rsid w:val="0062102F"/>
    <w:rsid w:val="0062128E"/>
    <w:rsid w:val="006222AC"/>
    <w:rsid w:val="006231B8"/>
    <w:rsid w:val="00623733"/>
    <w:rsid w:val="006251A0"/>
    <w:rsid w:val="006252D2"/>
    <w:rsid w:val="0062549D"/>
    <w:rsid w:val="0062563D"/>
    <w:rsid w:val="006267A0"/>
    <w:rsid w:val="006308D4"/>
    <w:rsid w:val="00630A63"/>
    <w:rsid w:val="00631221"/>
    <w:rsid w:val="006319B8"/>
    <w:rsid w:val="006323C1"/>
    <w:rsid w:val="00633069"/>
    <w:rsid w:val="006335E9"/>
    <w:rsid w:val="00633BA3"/>
    <w:rsid w:val="00633E42"/>
    <w:rsid w:val="0063401B"/>
    <w:rsid w:val="006342A5"/>
    <w:rsid w:val="006348C8"/>
    <w:rsid w:val="00634CFF"/>
    <w:rsid w:val="00635158"/>
    <w:rsid w:val="006352A0"/>
    <w:rsid w:val="00635803"/>
    <w:rsid w:val="00635D45"/>
    <w:rsid w:val="00636301"/>
    <w:rsid w:val="00636439"/>
    <w:rsid w:val="006364DB"/>
    <w:rsid w:val="00636B44"/>
    <w:rsid w:val="00636EC8"/>
    <w:rsid w:val="00640100"/>
    <w:rsid w:val="00640AAD"/>
    <w:rsid w:val="00640D9A"/>
    <w:rsid w:val="0064115E"/>
    <w:rsid w:val="006418E7"/>
    <w:rsid w:val="00641C0C"/>
    <w:rsid w:val="00642035"/>
    <w:rsid w:val="006420AA"/>
    <w:rsid w:val="006420BC"/>
    <w:rsid w:val="006427EF"/>
    <w:rsid w:val="00642D3F"/>
    <w:rsid w:val="006434A1"/>
    <w:rsid w:val="00643BCE"/>
    <w:rsid w:val="00643E89"/>
    <w:rsid w:val="00643E98"/>
    <w:rsid w:val="00644774"/>
    <w:rsid w:val="0064494E"/>
    <w:rsid w:val="00645242"/>
    <w:rsid w:val="0064551F"/>
    <w:rsid w:val="00645919"/>
    <w:rsid w:val="00645C20"/>
    <w:rsid w:val="0064668D"/>
    <w:rsid w:val="0064764F"/>
    <w:rsid w:val="00647D14"/>
    <w:rsid w:val="00647E3A"/>
    <w:rsid w:val="006506B0"/>
    <w:rsid w:val="00651662"/>
    <w:rsid w:val="00651675"/>
    <w:rsid w:val="006517D6"/>
    <w:rsid w:val="00652061"/>
    <w:rsid w:val="0065239B"/>
    <w:rsid w:val="006524C7"/>
    <w:rsid w:val="00652C06"/>
    <w:rsid w:val="00652E6B"/>
    <w:rsid w:val="006532EA"/>
    <w:rsid w:val="00653424"/>
    <w:rsid w:val="0065355B"/>
    <w:rsid w:val="00654165"/>
    <w:rsid w:val="00654961"/>
    <w:rsid w:val="00654CB8"/>
    <w:rsid w:val="00655DCF"/>
    <w:rsid w:val="006565AA"/>
    <w:rsid w:val="006572CC"/>
    <w:rsid w:val="00657620"/>
    <w:rsid w:val="00657EA6"/>
    <w:rsid w:val="00660059"/>
    <w:rsid w:val="00660272"/>
    <w:rsid w:val="00660595"/>
    <w:rsid w:val="00660BF6"/>
    <w:rsid w:val="00660E46"/>
    <w:rsid w:val="00661172"/>
    <w:rsid w:val="00661E90"/>
    <w:rsid w:val="00662145"/>
    <w:rsid w:val="00662B9C"/>
    <w:rsid w:val="00662EBB"/>
    <w:rsid w:val="006635B4"/>
    <w:rsid w:val="0066399A"/>
    <w:rsid w:val="00663B23"/>
    <w:rsid w:val="006643F6"/>
    <w:rsid w:val="006644B4"/>
    <w:rsid w:val="0066477A"/>
    <w:rsid w:val="00664BD0"/>
    <w:rsid w:val="00664C70"/>
    <w:rsid w:val="006650A0"/>
    <w:rsid w:val="0066514A"/>
    <w:rsid w:val="00665F62"/>
    <w:rsid w:val="006663D2"/>
    <w:rsid w:val="0066746A"/>
    <w:rsid w:val="0066766C"/>
    <w:rsid w:val="00667A90"/>
    <w:rsid w:val="006705A4"/>
    <w:rsid w:val="00670CDF"/>
    <w:rsid w:val="00671963"/>
    <w:rsid w:val="006721E6"/>
    <w:rsid w:val="00674046"/>
    <w:rsid w:val="00674364"/>
    <w:rsid w:val="00674521"/>
    <w:rsid w:val="006747D2"/>
    <w:rsid w:val="00674C6B"/>
    <w:rsid w:val="00674EA3"/>
    <w:rsid w:val="00675090"/>
    <w:rsid w:val="006750E8"/>
    <w:rsid w:val="00675364"/>
    <w:rsid w:val="00675E55"/>
    <w:rsid w:val="00676619"/>
    <w:rsid w:val="00676DC4"/>
    <w:rsid w:val="0067724B"/>
    <w:rsid w:val="0067793E"/>
    <w:rsid w:val="00677DDF"/>
    <w:rsid w:val="006803F4"/>
    <w:rsid w:val="00680779"/>
    <w:rsid w:val="00681006"/>
    <w:rsid w:val="00681F2C"/>
    <w:rsid w:val="0068254E"/>
    <w:rsid w:val="00682D71"/>
    <w:rsid w:val="00683343"/>
    <w:rsid w:val="00683E19"/>
    <w:rsid w:val="006841EA"/>
    <w:rsid w:val="00684D6F"/>
    <w:rsid w:val="006850D5"/>
    <w:rsid w:val="00685702"/>
    <w:rsid w:val="0068571D"/>
    <w:rsid w:val="0068581E"/>
    <w:rsid w:val="00685829"/>
    <w:rsid w:val="0068621C"/>
    <w:rsid w:val="006862EA"/>
    <w:rsid w:val="00686D02"/>
    <w:rsid w:val="00686D63"/>
    <w:rsid w:val="00686EF0"/>
    <w:rsid w:val="006874E5"/>
    <w:rsid w:val="00687667"/>
    <w:rsid w:val="00687BC0"/>
    <w:rsid w:val="00687F48"/>
    <w:rsid w:val="00690559"/>
    <w:rsid w:val="00690ED9"/>
    <w:rsid w:val="00691C3E"/>
    <w:rsid w:val="00691F25"/>
    <w:rsid w:val="006929A1"/>
    <w:rsid w:val="00692ACC"/>
    <w:rsid w:val="00692AF8"/>
    <w:rsid w:val="00692F1A"/>
    <w:rsid w:val="00693033"/>
    <w:rsid w:val="00693B77"/>
    <w:rsid w:val="006951E0"/>
    <w:rsid w:val="0069538C"/>
    <w:rsid w:val="006958C8"/>
    <w:rsid w:val="00695997"/>
    <w:rsid w:val="00696916"/>
    <w:rsid w:val="00696C3E"/>
    <w:rsid w:val="00696FD7"/>
    <w:rsid w:val="0069737F"/>
    <w:rsid w:val="006973BE"/>
    <w:rsid w:val="00697579"/>
    <w:rsid w:val="00697ED5"/>
    <w:rsid w:val="00697F2B"/>
    <w:rsid w:val="006A1294"/>
    <w:rsid w:val="006A12D6"/>
    <w:rsid w:val="006A2A72"/>
    <w:rsid w:val="006A2A8C"/>
    <w:rsid w:val="006A3611"/>
    <w:rsid w:val="006A36BF"/>
    <w:rsid w:val="006A3B6E"/>
    <w:rsid w:val="006A3D6C"/>
    <w:rsid w:val="006A41E3"/>
    <w:rsid w:val="006A49F5"/>
    <w:rsid w:val="006A4D90"/>
    <w:rsid w:val="006A5C64"/>
    <w:rsid w:val="006A5E3E"/>
    <w:rsid w:val="006A6606"/>
    <w:rsid w:val="006A6CEE"/>
    <w:rsid w:val="006A7311"/>
    <w:rsid w:val="006A75BF"/>
    <w:rsid w:val="006A77B9"/>
    <w:rsid w:val="006A7A4C"/>
    <w:rsid w:val="006A7F5D"/>
    <w:rsid w:val="006B06AB"/>
    <w:rsid w:val="006B123A"/>
    <w:rsid w:val="006B1B08"/>
    <w:rsid w:val="006B1FCF"/>
    <w:rsid w:val="006B2318"/>
    <w:rsid w:val="006B236C"/>
    <w:rsid w:val="006B3090"/>
    <w:rsid w:val="006B364B"/>
    <w:rsid w:val="006B4E00"/>
    <w:rsid w:val="006B5A21"/>
    <w:rsid w:val="006B5D6A"/>
    <w:rsid w:val="006B68E6"/>
    <w:rsid w:val="006B6969"/>
    <w:rsid w:val="006B72E8"/>
    <w:rsid w:val="006B7363"/>
    <w:rsid w:val="006B74AE"/>
    <w:rsid w:val="006C050C"/>
    <w:rsid w:val="006C0791"/>
    <w:rsid w:val="006C096D"/>
    <w:rsid w:val="006C13DF"/>
    <w:rsid w:val="006C1A93"/>
    <w:rsid w:val="006C2DEF"/>
    <w:rsid w:val="006C312D"/>
    <w:rsid w:val="006C312F"/>
    <w:rsid w:val="006C3616"/>
    <w:rsid w:val="006C41FB"/>
    <w:rsid w:val="006C42DE"/>
    <w:rsid w:val="006C4710"/>
    <w:rsid w:val="006C4830"/>
    <w:rsid w:val="006C4CAD"/>
    <w:rsid w:val="006C4EF0"/>
    <w:rsid w:val="006C4FE7"/>
    <w:rsid w:val="006C506E"/>
    <w:rsid w:val="006C5D81"/>
    <w:rsid w:val="006C5E84"/>
    <w:rsid w:val="006C5FBB"/>
    <w:rsid w:val="006C6E54"/>
    <w:rsid w:val="006C713B"/>
    <w:rsid w:val="006C71D2"/>
    <w:rsid w:val="006C764F"/>
    <w:rsid w:val="006C7652"/>
    <w:rsid w:val="006C7DB8"/>
    <w:rsid w:val="006D0146"/>
    <w:rsid w:val="006D0255"/>
    <w:rsid w:val="006D0B31"/>
    <w:rsid w:val="006D0C50"/>
    <w:rsid w:val="006D1346"/>
    <w:rsid w:val="006D16C2"/>
    <w:rsid w:val="006D1E9D"/>
    <w:rsid w:val="006D2CCA"/>
    <w:rsid w:val="006D2E87"/>
    <w:rsid w:val="006D374F"/>
    <w:rsid w:val="006D4B8E"/>
    <w:rsid w:val="006D526A"/>
    <w:rsid w:val="006D5E6F"/>
    <w:rsid w:val="006D65E6"/>
    <w:rsid w:val="006D66FF"/>
    <w:rsid w:val="006E0177"/>
    <w:rsid w:val="006E020D"/>
    <w:rsid w:val="006E0512"/>
    <w:rsid w:val="006E082E"/>
    <w:rsid w:val="006E0E8B"/>
    <w:rsid w:val="006E1315"/>
    <w:rsid w:val="006E17CC"/>
    <w:rsid w:val="006E187D"/>
    <w:rsid w:val="006E19DD"/>
    <w:rsid w:val="006E22EF"/>
    <w:rsid w:val="006E2BDB"/>
    <w:rsid w:val="006E3263"/>
    <w:rsid w:val="006E339B"/>
    <w:rsid w:val="006E3A05"/>
    <w:rsid w:val="006E3D8A"/>
    <w:rsid w:val="006E3F2C"/>
    <w:rsid w:val="006E5E23"/>
    <w:rsid w:val="006E63DF"/>
    <w:rsid w:val="006E65BC"/>
    <w:rsid w:val="006E6B93"/>
    <w:rsid w:val="006E6C9A"/>
    <w:rsid w:val="006E7051"/>
    <w:rsid w:val="006E70CC"/>
    <w:rsid w:val="006E744F"/>
    <w:rsid w:val="006E7ACB"/>
    <w:rsid w:val="006F0896"/>
    <w:rsid w:val="006F0B30"/>
    <w:rsid w:val="006F0C6A"/>
    <w:rsid w:val="006F1377"/>
    <w:rsid w:val="006F1827"/>
    <w:rsid w:val="006F1A45"/>
    <w:rsid w:val="006F1B0B"/>
    <w:rsid w:val="006F3729"/>
    <w:rsid w:val="006F3ACC"/>
    <w:rsid w:val="006F453C"/>
    <w:rsid w:val="006F4E92"/>
    <w:rsid w:val="006F50F1"/>
    <w:rsid w:val="006F57E0"/>
    <w:rsid w:val="006F5CB2"/>
    <w:rsid w:val="006F61FC"/>
    <w:rsid w:val="006F673C"/>
    <w:rsid w:val="006F6871"/>
    <w:rsid w:val="006F7628"/>
    <w:rsid w:val="006F7B48"/>
    <w:rsid w:val="006F7F96"/>
    <w:rsid w:val="00700182"/>
    <w:rsid w:val="0070050C"/>
    <w:rsid w:val="007005CA"/>
    <w:rsid w:val="00700751"/>
    <w:rsid w:val="00703133"/>
    <w:rsid w:val="00703C79"/>
    <w:rsid w:val="0070523F"/>
    <w:rsid w:val="007052E3"/>
    <w:rsid w:val="00705717"/>
    <w:rsid w:val="007058DA"/>
    <w:rsid w:val="00705BE3"/>
    <w:rsid w:val="00705C9C"/>
    <w:rsid w:val="00705CC9"/>
    <w:rsid w:val="0070678F"/>
    <w:rsid w:val="00706A5D"/>
    <w:rsid w:val="00706F04"/>
    <w:rsid w:val="00707D2A"/>
    <w:rsid w:val="007100BA"/>
    <w:rsid w:val="0071022E"/>
    <w:rsid w:val="00710535"/>
    <w:rsid w:val="007105A4"/>
    <w:rsid w:val="007108EC"/>
    <w:rsid w:val="007122AA"/>
    <w:rsid w:val="007123E2"/>
    <w:rsid w:val="0071291F"/>
    <w:rsid w:val="00712AD2"/>
    <w:rsid w:val="00712F31"/>
    <w:rsid w:val="007137A6"/>
    <w:rsid w:val="00713C46"/>
    <w:rsid w:val="00713D0A"/>
    <w:rsid w:val="00713F1A"/>
    <w:rsid w:val="007142B8"/>
    <w:rsid w:val="00714E92"/>
    <w:rsid w:val="0071545D"/>
    <w:rsid w:val="00716D23"/>
    <w:rsid w:val="00716E56"/>
    <w:rsid w:val="00717083"/>
    <w:rsid w:val="007170F8"/>
    <w:rsid w:val="0071721D"/>
    <w:rsid w:val="00717443"/>
    <w:rsid w:val="00717A4A"/>
    <w:rsid w:val="00717AC7"/>
    <w:rsid w:val="0072045A"/>
    <w:rsid w:val="00720FC7"/>
    <w:rsid w:val="00721069"/>
    <w:rsid w:val="00721339"/>
    <w:rsid w:val="00721A06"/>
    <w:rsid w:val="00722543"/>
    <w:rsid w:val="00722DA5"/>
    <w:rsid w:val="00722F27"/>
    <w:rsid w:val="007230E1"/>
    <w:rsid w:val="00723222"/>
    <w:rsid w:val="00723A64"/>
    <w:rsid w:val="00724053"/>
    <w:rsid w:val="00725D69"/>
    <w:rsid w:val="00725EEC"/>
    <w:rsid w:val="00726269"/>
    <w:rsid w:val="00726389"/>
    <w:rsid w:val="00726A90"/>
    <w:rsid w:val="00727258"/>
    <w:rsid w:val="007273A3"/>
    <w:rsid w:val="00730217"/>
    <w:rsid w:val="007303C9"/>
    <w:rsid w:val="007304E5"/>
    <w:rsid w:val="007306B1"/>
    <w:rsid w:val="0073096D"/>
    <w:rsid w:val="00730B85"/>
    <w:rsid w:val="00730CCC"/>
    <w:rsid w:val="00730FF6"/>
    <w:rsid w:val="00731607"/>
    <w:rsid w:val="0073173C"/>
    <w:rsid w:val="007321B0"/>
    <w:rsid w:val="00732237"/>
    <w:rsid w:val="00732610"/>
    <w:rsid w:val="0073277F"/>
    <w:rsid w:val="00733137"/>
    <w:rsid w:val="00733B4A"/>
    <w:rsid w:val="00733D32"/>
    <w:rsid w:val="00734009"/>
    <w:rsid w:val="007343CC"/>
    <w:rsid w:val="00734671"/>
    <w:rsid w:val="00734A70"/>
    <w:rsid w:val="00735A9F"/>
    <w:rsid w:val="00735AD8"/>
    <w:rsid w:val="00736F77"/>
    <w:rsid w:val="007370DB"/>
    <w:rsid w:val="00737DF4"/>
    <w:rsid w:val="0074013F"/>
    <w:rsid w:val="0074025C"/>
    <w:rsid w:val="007402BE"/>
    <w:rsid w:val="00740DAD"/>
    <w:rsid w:val="00741412"/>
    <w:rsid w:val="0074151C"/>
    <w:rsid w:val="0074184C"/>
    <w:rsid w:val="00741EC0"/>
    <w:rsid w:val="007420D3"/>
    <w:rsid w:val="007428AE"/>
    <w:rsid w:val="00742BBA"/>
    <w:rsid w:val="00743A88"/>
    <w:rsid w:val="00743C37"/>
    <w:rsid w:val="00744076"/>
    <w:rsid w:val="0074460A"/>
    <w:rsid w:val="00745E6C"/>
    <w:rsid w:val="0074689E"/>
    <w:rsid w:val="00746B2E"/>
    <w:rsid w:val="00746B5E"/>
    <w:rsid w:val="00747A62"/>
    <w:rsid w:val="00747FC3"/>
    <w:rsid w:val="0075022F"/>
    <w:rsid w:val="0075026C"/>
    <w:rsid w:val="007507B5"/>
    <w:rsid w:val="00750C56"/>
    <w:rsid w:val="00750DC6"/>
    <w:rsid w:val="007514BA"/>
    <w:rsid w:val="007517B4"/>
    <w:rsid w:val="00751A1A"/>
    <w:rsid w:val="00751B1F"/>
    <w:rsid w:val="00751F5F"/>
    <w:rsid w:val="00752333"/>
    <w:rsid w:val="00752C7A"/>
    <w:rsid w:val="00752DF8"/>
    <w:rsid w:val="00753A43"/>
    <w:rsid w:val="007540F8"/>
    <w:rsid w:val="0075416C"/>
    <w:rsid w:val="00754A05"/>
    <w:rsid w:val="0075513B"/>
    <w:rsid w:val="007553C8"/>
    <w:rsid w:val="007559A9"/>
    <w:rsid w:val="00755B49"/>
    <w:rsid w:val="00755BC3"/>
    <w:rsid w:val="00755F50"/>
    <w:rsid w:val="00755FAB"/>
    <w:rsid w:val="00757CE1"/>
    <w:rsid w:val="0076052F"/>
    <w:rsid w:val="007608A0"/>
    <w:rsid w:val="0076165D"/>
    <w:rsid w:val="00761E89"/>
    <w:rsid w:val="007620CF"/>
    <w:rsid w:val="00762683"/>
    <w:rsid w:val="007632AD"/>
    <w:rsid w:val="0076349F"/>
    <w:rsid w:val="00763753"/>
    <w:rsid w:val="0076388E"/>
    <w:rsid w:val="007638CB"/>
    <w:rsid w:val="00763A92"/>
    <w:rsid w:val="00763E30"/>
    <w:rsid w:val="007641D7"/>
    <w:rsid w:val="007644E0"/>
    <w:rsid w:val="0076545A"/>
    <w:rsid w:val="00765732"/>
    <w:rsid w:val="00765796"/>
    <w:rsid w:val="007657C3"/>
    <w:rsid w:val="00765B8D"/>
    <w:rsid w:val="00765D89"/>
    <w:rsid w:val="0076602F"/>
    <w:rsid w:val="0076608A"/>
    <w:rsid w:val="0076612A"/>
    <w:rsid w:val="007664DB"/>
    <w:rsid w:val="007665D2"/>
    <w:rsid w:val="00766753"/>
    <w:rsid w:val="0076682D"/>
    <w:rsid w:val="0076716E"/>
    <w:rsid w:val="007700E7"/>
    <w:rsid w:val="00771B68"/>
    <w:rsid w:val="007722F1"/>
    <w:rsid w:val="007728BD"/>
    <w:rsid w:val="00772E75"/>
    <w:rsid w:val="00773629"/>
    <w:rsid w:val="0077364C"/>
    <w:rsid w:val="007736D6"/>
    <w:rsid w:val="007739B2"/>
    <w:rsid w:val="00773BB0"/>
    <w:rsid w:val="00773E2C"/>
    <w:rsid w:val="00774F39"/>
    <w:rsid w:val="007760F2"/>
    <w:rsid w:val="007762B2"/>
    <w:rsid w:val="00776775"/>
    <w:rsid w:val="00776CDD"/>
    <w:rsid w:val="0077706C"/>
    <w:rsid w:val="00777737"/>
    <w:rsid w:val="00777E38"/>
    <w:rsid w:val="0078084B"/>
    <w:rsid w:val="007808EF"/>
    <w:rsid w:val="00780F6F"/>
    <w:rsid w:val="00781632"/>
    <w:rsid w:val="00781BCF"/>
    <w:rsid w:val="00781DD4"/>
    <w:rsid w:val="00782648"/>
    <w:rsid w:val="00782852"/>
    <w:rsid w:val="00783554"/>
    <w:rsid w:val="007835E2"/>
    <w:rsid w:val="007836C7"/>
    <w:rsid w:val="00783786"/>
    <w:rsid w:val="00783AE3"/>
    <w:rsid w:val="00783ECF"/>
    <w:rsid w:val="0078419D"/>
    <w:rsid w:val="0078420C"/>
    <w:rsid w:val="00784229"/>
    <w:rsid w:val="00784288"/>
    <w:rsid w:val="007845E9"/>
    <w:rsid w:val="00785B41"/>
    <w:rsid w:val="00786205"/>
    <w:rsid w:val="00786320"/>
    <w:rsid w:val="0078792B"/>
    <w:rsid w:val="00787A93"/>
    <w:rsid w:val="00790970"/>
    <w:rsid w:val="00790FFE"/>
    <w:rsid w:val="00792059"/>
    <w:rsid w:val="00792139"/>
    <w:rsid w:val="00792746"/>
    <w:rsid w:val="00792DF9"/>
    <w:rsid w:val="007931D3"/>
    <w:rsid w:val="007939BE"/>
    <w:rsid w:val="0079409C"/>
    <w:rsid w:val="00794A25"/>
    <w:rsid w:val="00794F9D"/>
    <w:rsid w:val="007963C6"/>
    <w:rsid w:val="007967DE"/>
    <w:rsid w:val="00797494"/>
    <w:rsid w:val="0079772F"/>
    <w:rsid w:val="00797D7F"/>
    <w:rsid w:val="00797F80"/>
    <w:rsid w:val="007A046E"/>
    <w:rsid w:val="007A0E4D"/>
    <w:rsid w:val="007A0FB6"/>
    <w:rsid w:val="007A11E4"/>
    <w:rsid w:val="007A1B04"/>
    <w:rsid w:val="007A1DE1"/>
    <w:rsid w:val="007A201C"/>
    <w:rsid w:val="007A240E"/>
    <w:rsid w:val="007A2D71"/>
    <w:rsid w:val="007A34BA"/>
    <w:rsid w:val="007A43A3"/>
    <w:rsid w:val="007A44B8"/>
    <w:rsid w:val="007A45A3"/>
    <w:rsid w:val="007A4A53"/>
    <w:rsid w:val="007A5A91"/>
    <w:rsid w:val="007A5ACD"/>
    <w:rsid w:val="007A6054"/>
    <w:rsid w:val="007A63A3"/>
    <w:rsid w:val="007A6DED"/>
    <w:rsid w:val="007A6F1F"/>
    <w:rsid w:val="007A70D2"/>
    <w:rsid w:val="007A7FE5"/>
    <w:rsid w:val="007B0EF5"/>
    <w:rsid w:val="007B12EB"/>
    <w:rsid w:val="007B1774"/>
    <w:rsid w:val="007B178C"/>
    <w:rsid w:val="007B1A35"/>
    <w:rsid w:val="007B1E7A"/>
    <w:rsid w:val="007B1FCE"/>
    <w:rsid w:val="007B34CD"/>
    <w:rsid w:val="007B35BB"/>
    <w:rsid w:val="007B3685"/>
    <w:rsid w:val="007B3B11"/>
    <w:rsid w:val="007B45A7"/>
    <w:rsid w:val="007B45DF"/>
    <w:rsid w:val="007B4BE2"/>
    <w:rsid w:val="007B5864"/>
    <w:rsid w:val="007B5FEE"/>
    <w:rsid w:val="007B60E6"/>
    <w:rsid w:val="007B6346"/>
    <w:rsid w:val="007B6431"/>
    <w:rsid w:val="007B670C"/>
    <w:rsid w:val="007B6925"/>
    <w:rsid w:val="007B6CB1"/>
    <w:rsid w:val="007B6EA6"/>
    <w:rsid w:val="007B79CE"/>
    <w:rsid w:val="007C0C9F"/>
    <w:rsid w:val="007C0DCC"/>
    <w:rsid w:val="007C20D3"/>
    <w:rsid w:val="007C2418"/>
    <w:rsid w:val="007C24B2"/>
    <w:rsid w:val="007C25E9"/>
    <w:rsid w:val="007C2864"/>
    <w:rsid w:val="007C2A14"/>
    <w:rsid w:val="007C2C3C"/>
    <w:rsid w:val="007C3115"/>
    <w:rsid w:val="007C3188"/>
    <w:rsid w:val="007C390D"/>
    <w:rsid w:val="007C3B0F"/>
    <w:rsid w:val="007C4503"/>
    <w:rsid w:val="007C4549"/>
    <w:rsid w:val="007C49EE"/>
    <w:rsid w:val="007C4FFA"/>
    <w:rsid w:val="007C56F2"/>
    <w:rsid w:val="007C5FF5"/>
    <w:rsid w:val="007C633A"/>
    <w:rsid w:val="007C63AE"/>
    <w:rsid w:val="007C6781"/>
    <w:rsid w:val="007C6944"/>
    <w:rsid w:val="007C726C"/>
    <w:rsid w:val="007C7333"/>
    <w:rsid w:val="007C7781"/>
    <w:rsid w:val="007C7E97"/>
    <w:rsid w:val="007D0401"/>
    <w:rsid w:val="007D0FFC"/>
    <w:rsid w:val="007D1D9A"/>
    <w:rsid w:val="007D23FC"/>
    <w:rsid w:val="007D3446"/>
    <w:rsid w:val="007D3556"/>
    <w:rsid w:val="007D36CF"/>
    <w:rsid w:val="007D3828"/>
    <w:rsid w:val="007D3880"/>
    <w:rsid w:val="007D45C6"/>
    <w:rsid w:val="007D557A"/>
    <w:rsid w:val="007D58F5"/>
    <w:rsid w:val="007D5D52"/>
    <w:rsid w:val="007D60F4"/>
    <w:rsid w:val="007D684F"/>
    <w:rsid w:val="007D6869"/>
    <w:rsid w:val="007D7202"/>
    <w:rsid w:val="007D7896"/>
    <w:rsid w:val="007D78C6"/>
    <w:rsid w:val="007D7979"/>
    <w:rsid w:val="007D7B48"/>
    <w:rsid w:val="007E04FA"/>
    <w:rsid w:val="007E07CD"/>
    <w:rsid w:val="007E1600"/>
    <w:rsid w:val="007E1F89"/>
    <w:rsid w:val="007E2293"/>
    <w:rsid w:val="007E2B9D"/>
    <w:rsid w:val="007E2DDE"/>
    <w:rsid w:val="007E31EB"/>
    <w:rsid w:val="007E3291"/>
    <w:rsid w:val="007E34F5"/>
    <w:rsid w:val="007E39F9"/>
    <w:rsid w:val="007E400D"/>
    <w:rsid w:val="007E4615"/>
    <w:rsid w:val="007E5F3C"/>
    <w:rsid w:val="007E6371"/>
    <w:rsid w:val="007E650F"/>
    <w:rsid w:val="007E6979"/>
    <w:rsid w:val="007E6C1A"/>
    <w:rsid w:val="007E7430"/>
    <w:rsid w:val="007E7492"/>
    <w:rsid w:val="007E78D8"/>
    <w:rsid w:val="007E7AC8"/>
    <w:rsid w:val="007E7C33"/>
    <w:rsid w:val="007F0196"/>
    <w:rsid w:val="007F0260"/>
    <w:rsid w:val="007F07E7"/>
    <w:rsid w:val="007F09F6"/>
    <w:rsid w:val="007F11B2"/>
    <w:rsid w:val="007F17E4"/>
    <w:rsid w:val="007F1871"/>
    <w:rsid w:val="007F1AA3"/>
    <w:rsid w:val="007F20C3"/>
    <w:rsid w:val="007F247C"/>
    <w:rsid w:val="007F24A8"/>
    <w:rsid w:val="007F24E0"/>
    <w:rsid w:val="007F2F7D"/>
    <w:rsid w:val="007F397D"/>
    <w:rsid w:val="007F5775"/>
    <w:rsid w:val="007F6258"/>
    <w:rsid w:val="007F62BD"/>
    <w:rsid w:val="007F6417"/>
    <w:rsid w:val="007F6889"/>
    <w:rsid w:val="007F6A38"/>
    <w:rsid w:val="007F6E8A"/>
    <w:rsid w:val="007F788D"/>
    <w:rsid w:val="007F78D4"/>
    <w:rsid w:val="0080023D"/>
    <w:rsid w:val="0080044D"/>
    <w:rsid w:val="0080062D"/>
    <w:rsid w:val="00800DB2"/>
    <w:rsid w:val="008014C1"/>
    <w:rsid w:val="008015AC"/>
    <w:rsid w:val="0080187B"/>
    <w:rsid w:val="0080286C"/>
    <w:rsid w:val="00802947"/>
    <w:rsid w:val="00804556"/>
    <w:rsid w:val="00804B32"/>
    <w:rsid w:val="00804FC4"/>
    <w:rsid w:val="008053AA"/>
    <w:rsid w:val="0080546D"/>
    <w:rsid w:val="008055F4"/>
    <w:rsid w:val="00805649"/>
    <w:rsid w:val="00805665"/>
    <w:rsid w:val="008059A6"/>
    <w:rsid w:val="008059D3"/>
    <w:rsid w:val="00805E2A"/>
    <w:rsid w:val="00805E38"/>
    <w:rsid w:val="008062A3"/>
    <w:rsid w:val="008069E3"/>
    <w:rsid w:val="00807222"/>
    <w:rsid w:val="00807338"/>
    <w:rsid w:val="00807433"/>
    <w:rsid w:val="00807596"/>
    <w:rsid w:val="008101BF"/>
    <w:rsid w:val="0081039C"/>
    <w:rsid w:val="008111A1"/>
    <w:rsid w:val="008112C2"/>
    <w:rsid w:val="008115C8"/>
    <w:rsid w:val="00812E02"/>
    <w:rsid w:val="00813593"/>
    <w:rsid w:val="0081383A"/>
    <w:rsid w:val="00814230"/>
    <w:rsid w:val="00814243"/>
    <w:rsid w:val="008146A4"/>
    <w:rsid w:val="00815011"/>
    <w:rsid w:val="008153F6"/>
    <w:rsid w:val="00816934"/>
    <w:rsid w:val="00816CDF"/>
    <w:rsid w:val="00816E5E"/>
    <w:rsid w:val="0081710D"/>
    <w:rsid w:val="00817911"/>
    <w:rsid w:val="0081794B"/>
    <w:rsid w:val="00817AB6"/>
    <w:rsid w:val="008204AF"/>
    <w:rsid w:val="008205EB"/>
    <w:rsid w:val="00820746"/>
    <w:rsid w:val="00821822"/>
    <w:rsid w:val="008218F9"/>
    <w:rsid w:val="00821FE8"/>
    <w:rsid w:val="00822099"/>
    <w:rsid w:val="00822132"/>
    <w:rsid w:val="0082239C"/>
    <w:rsid w:val="008228DB"/>
    <w:rsid w:val="0082299D"/>
    <w:rsid w:val="00822DE3"/>
    <w:rsid w:val="00823B0B"/>
    <w:rsid w:val="00823C8F"/>
    <w:rsid w:val="008243FA"/>
    <w:rsid w:val="008244F1"/>
    <w:rsid w:val="0082579F"/>
    <w:rsid w:val="0082581A"/>
    <w:rsid w:val="008259A5"/>
    <w:rsid w:val="008259E1"/>
    <w:rsid w:val="0082629C"/>
    <w:rsid w:val="0082692F"/>
    <w:rsid w:val="00826A33"/>
    <w:rsid w:val="00826C05"/>
    <w:rsid w:val="00826D16"/>
    <w:rsid w:val="00826EC0"/>
    <w:rsid w:val="0082729A"/>
    <w:rsid w:val="00827D1A"/>
    <w:rsid w:val="00827F33"/>
    <w:rsid w:val="00830072"/>
    <w:rsid w:val="0083076C"/>
    <w:rsid w:val="0083136A"/>
    <w:rsid w:val="00831552"/>
    <w:rsid w:val="00831ACA"/>
    <w:rsid w:val="00832019"/>
    <w:rsid w:val="00832943"/>
    <w:rsid w:val="0083348C"/>
    <w:rsid w:val="0083348D"/>
    <w:rsid w:val="0083423D"/>
    <w:rsid w:val="00834541"/>
    <w:rsid w:val="0083493D"/>
    <w:rsid w:val="00835A78"/>
    <w:rsid w:val="00835F4F"/>
    <w:rsid w:val="00836452"/>
    <w:rsid w:val="008367F3"/>
    <w:rsid w:val="0083689E"/>
    <w:rsid w:val="00836CFA"/>
    <w:rsid w:val="00837130"/>
    <w:rsid w:val="00837441"/>
    <w:rsid w:val="00837C89"/>
    <w:rsid w:val="00837C9A"/>
    <w:rsid w:val="00837ED8"/>
    <w:rsid w:val="00840714"/>
    <w:rsid w:val="00841575"/>
    <w:rsid w:val="00841AA4"/>
    <w:rsid w:val="00841CA1"/>
    <w:rsid w:val="0084284A"/>
    <w:rsid w:val="00842925"/>
    <w:rsid w:val="00842AB7"/>
    <w:rsid w:val="00842B4E"/>
    <w:rsid w:val="00842B84"/>
    <w:rsid w:val="0084333D"/>
    <w:rsid w:val="0084371D"/>
    <w:rsid w:val="008448A5"/>
    <w:rsid w:val="00844EF6"/>
    <w:rsid w:val="0084519F"/>
    <w:rsid w:val="00845601"/>
    <w:rsid w:val="00845A8B"/>
    <w:rsid w:val="00845AA8"/>
    <w:rsid w:val="00845B9B"/>
    <w:rsid w:val="00845C94"/>
    <w:rsid w:val="0084610C"/>
    <w:rsid w:val="00846479"/>
    <w:rsid w:val="00846C5D"/>
    <w:rsid w:val="00846DF2"/>
    <w:rsid w:val="00847563"/>
    <w:rsid w:val="00851346"/>
    <w:rsid w:val="00852282"/>
    <w:rsid w:val="0085231A"/>
    <w:rsid w:val="008523E7"/>
    <w:rsid w:val="0085256F"/>
    <w:rsid w:val="00852ADD"/>
    <w:rsid w:val="00852FDF"/>
    <w:rsid w:val="00853745"/>
    <w:rsid w:val="00853B27"/>
    <w:rsid w:val="00854146"/>
    <w:rsid w:val="00854EFD"/>
    <w:rsid w:val="00855572"/>
    <w:rsid w:val="0085566C"/>
    <w:rsid w:val="00855EB6"/>
    <w:rsid w:val="008560C2"/>
    <w:rsid w:val="00856693"/>
    <w:rsid w:val="00856F38"/>
    <w:rsid w:val="0085785E"/>
    <w:rsid w:val="00857D65"/>
    <w:rsid w:val="00857EEE"/>
    <w:rsid w:val="00860126"/>
    <w:rsid w:val="008604A9"/>
    <w:rsid w:val="00860A3F"/>
    <w:rsid w:val="00860BD5"/>
    <w:rsid w:val="008612F1"/>
    <w:rsid w:val="00861520"/>
    <w:rsid w:val="008616F6"/>
    <w:rsid w:val="008617BE"/>
    <w:rsid w:val="00863F8C"/>
    <w:rsid w:val="00863FF5"/>
    <w:rsid w:val="008640A4"/>
    <w:rsid w:val="00864559"/>
    <w:rsid w:val="008647D5"/>
    <w:rsid w:val="00864EFF"/>
    <w:rsid w:val="0086532E"/>
    <w:rsid w:val="00865621"/>
    <w:rsid w:val="0086577E"/>
    <w:rsid w:val="0086585F"/>
    <w:rsid w:val="00865947"/>
    <w:rsid w:val="00865A00"/>
    <w:rsid w:val="00866066"/>
    <w:rsid w:val="00866B57"/>
    <w:rsid w:val="008708B5"/>
    <w:rsid w:val="00870D4F"/>
    <w:rsid w:val="008715C7"/>
    <w:rsid w:val="008716E2"/>
    <w:rsid w:val="00871C80"/>
    <w:rsid w:val="008723D7"/>
    <w:rsid w:val="00872417"/>
    <w:rsid w:val="00872CBF"/>
    <w:rsid w:val="00872CD5"/>
    <w:rsid w:val="008731E0"/>
    <w:rsid w:val="008734C0"/>
    <w:rsid w:val="00873AE5"/>
    <w:rsid w:val="00873E1C"/>
    <w:rsid w:val="00874435"/>
    <w:rsid w:val="0087453B"/>
    <w:rsid w:val="0087465F"/>
    <w:rsid w:val="00874A99"/>
    <w:rsid w:val="00875953"/>
    <w:rsid w:val="00875A55"/>
    <w:rsid w:val="00876C2A"/>
    <w:rsid w:val="00877391"/>
    <w:rsid w:val="00877492"/>
    <w:rsid w:val="0087776F"/>
    <w:rsid w:val="00877E28"/>
    <w:rsid w:val="00880577"/>
    <w:rsid w:val="00880ED3"/>
    <w:rsid w:val="00880F5A"/>
    <w:rsid w:val="008813C5"/>
    <w:rsid w:val="00882956"/>
    <w:rsid w:val="00882C8E"/>
    <w:rsid w:val="00882ED1"/>
    <w:rsid w:val="008835E3"/>
    <w:rsid w:val="00883AA9"/>
    <w:rsid w:val="00883BB0"/>
    <w:rsid w:val="00884250"/>
    <w:rsid w:val="0088473C"/>
    <w:rsid w:val="00884B39"/>
    <w:rsid w:val="00884D64"/>
    <w:rsid w:val="00885188"/>
    <w:rsid w:val="00885221"/>
    <w:rsid w:val="00885691"/>
    <w:rsid w:val="008856E1"/>
    <w:rsid w:val="00885ED1"/>
    <w:rsid w:val="00886143"/>
    <w:rsid w:val="008864B2"/>
    <w:rsid w:val="008865F2"/>
    <w:rsid w:val="008869E4"/>
    <w:rsid w:val="00886FB3"/>
    <w:rsid w:val="00887C73"/>
    <w:rsid w:val="00887F2F"/>
    <w:rsid w:val="00890023"/>
    <w:rsid w:val="00890ACE"/>
    <w:rsid w:val="00890BC2"/>
    <w:rsid w:val="00890ECB"/>
    <w:rsid w:val="00892E79"/>
    <w:rsid w:val="008941DC"/>
    <w:rsid w:val="00894549"/>
    <w:rsid w:val="00894B32"/>
    <w:rsid w:val="008953C4"/>
    <w:rsid w:val="00896630"/>
    <w:rsid w:val="008967E2"/>
    <w:rsid w:val="00896855"/>
    <w:rsid w:val="00896DF8"/>
    <w:rsid w:val="00896E40"/>
    <w:rsid w:val="00897302"/>
    <w:rsid w:val="00897847"/>
    <w:rsid w:val="00897E81"/>
    <w:rsid w:val="008A01AF"/>
    <w:rsid w:val="008A01CF"/>
    <w:rsid w:val="008A09EE"/>
    <w:rsid w:val="008A0A96"/>
    <w:rsid w:val="008A1BE7"/>
    <w:rsid w:val="008A1FAB"/>
    <w:rsid w:val="008A208A"/>
    <w:rsid w:val="008A231D"/>
    <w:rsid w:val="008A24D2"/>
    <w:rsid w:val="008A44FD"/>
    <w:rsid w:val="008A46AA"/>
    <w:rsid w:val="008A4857"/>
    <w:rsid w:val="008A52FF"/>
    <w:rsid w:val="008A532A"/>
    <w:rsid w:val="008A5375"/>
    <w:rsid w:val="008A5470"/>
    <w:rsid w:val="008A5829"/>
    <w:rsid w:val="008A5C45"/>
    <w:rsid w:val="008A7068"/>
    <w:rsid w:val="008A711F"/>
    <w:rsid w:val="008B03F0"/>
    <w:rsid w:val="008B087E"/>
    <w:rsid w:val="008B0FD3"/>
    <w:rsid w:val="008B130F"/>
    <w:rsid w:val="008B1A4E"/>
    <w:rsid w:val="008B22B7"/>
    <w:rsid w:val="008B22F7"/>
    <w:rsid w:val="008B2C30"/>
    <w:rsid w:val="008B3318"/>
    <w:rsid w:val="008B35D7"/>
    <w:rsid w:val="008B417A"/>
    <w:rsid w:val="008B4D1D"/>
    <w:rsid w:val="008B538A"/>
    <w:rsid w:val="008B6847"/>
    <w:rsid w:val="008B69AF"/>
    <w:rsid w:val="008B6B40"/>
    <w:rsid w:val="008B6E9D"/>
    <w:rsid w:val="008B7487"/>
    <w:rsid w:val="008B7CB5"/>
    <w:rsid w:val="008B7FBC"/>
    <w:rsid w:val="008C04B6"/>
    <w:rsid w:val="008C04D5"/>
    <w:rsid w:val="008C05E3"/>
    <w:rsid w:val="008C08BB"/>
    <w:rsid w:val="008C0932"/>
    <w:rsid w:val="008C0A05"/>
    <w:rsid w:val="008C0F6D"/>
    <w:rsid w:val="008C12C3"/>
    <w:rsid w:val="008C1596"/>
    <w:rsid w:val="008C160A"/>
    <w:rsid w:val="008C1845"/>
    <w:rsid w:val="008C2B8F"/>
    <w:rsid w:val="008C30C2"/>
    <w:rsid w:val="008C3A36"/>
    <w:rsid w:val="008C4ED4"/>
    <w:rsid w:val="008C5278"/>
    <w:rsid w:val="008C53E4"/>
    <w:rsid w:val="008C5B5C"/>
    <w:rsid w:val="008C60B4"/>
    <w:rsid w:val="008C6673"/>
    <w:rsid w:val="008C728E"/>
    <w:rsid w:val="008C7E1D"/>
    <w:rsid w:val="008D06B6"/>
    <w:rsid w:val="008D081D"/>
    <w:rsid w:val="008D12BA"/>
    <w:rsid w:val="008D185D"/>
    <w:rsid w:val="008D1955"/>
    <w:rsid w:val="008D2138"/>
    <w:rsid w:val="008D2807"/>
    <w:rsid w:val="008D2843"/>
    <w:rsid w:val="008D2D03"/>
    <w:rsid w:val="008D452C"/>
    <w:rsid w:val="008D4BEB"/>
    <w:rsid w:val="008D6427"/>
    <w:rsid w:val="008D6702"/>
    <w:rsid w:val="008D6D97"/>
    <w:rsid w:val="008D706B"/>
    <w:rsid w:val="008D7405"/>
    <w:rsid w:val="008D7667"/>
    <w:rsid w:val="008D7A9A"/>
    <w:rsid w:val="008D7AFE"/>
    <w:rsid w:val="008E0D8B"/>
    <w:rsid w:val="008E1544"/>
    <w:rsid w:val="008E1870"/>
    <w:rsid w:val="008E195E"/>
    <w:rsid w:val="008E224D"/>
    <w:rsid w:val="008E2DF5"/>
    <w:rsid w:val="008E3AEF"/>
    <w:rsid w:val="008E4308"/>
    <w:rsid w:val="008E4887"/>
    <w:rsid w:val="008E5108"/>
    <w:rsid w:val="008E558B"/>
    <w:rsid w:val="008E5F4D"/>
    <w:rsid w:val="008E6A05"/>
    <w:rsid w:val="008E6DAD"/>
    <w:rsid w:val="008E6E6F"/>
    <w:rsid w:val="008E74B3"/>
    <w:rsid w:val="008F0435"/>
    <w:rsid w:val="008F0D84"/>
    <w:rsid w:val="008F0F5F"/>
    <w:rsid w:val="008F143E"/>
    <w:rsid w:val="008F1DAB"/>
    <w:rsid w:val="008F206E"/>
    <w:rsid w:val="008F215E"/>
    <w:rsid w:val="008F2244"/>
    <w:rsid w:val="008F2341"/>
    <w:rsid w:val="008F2379"/>
    <w:rsid w:val="008F26C8"/>
    <w:rsid w:val="008F2ECF"/>
    <w:rsid w:val="008F3252"/>
    <w:rsid w:val="008F3436"/>
    <w:rsid w:val="008F403F"/>
    <w:rsid w:val="008F413C"/>
    <w:rsid w:val="008F4B44"/>
    <w:rsid w:val="008F6024"/>
    <w:rsid w:val="008F6706"/>
    <w:rsid w:val="008F680A"/>
    <w:rsid w:val="008F6854"/>
    <w:rsid w:val="008F68E2"/>
    <w:rsid w:val="008F69BB"/>
    <w:rsid w:val="008F6E5A"/>
    <w:rsid w:val="008F7516"/>
    <w:rsid w:val="008F7ACE"/>
    <w:rsid w:val="008F7CD2"/>
    <w:rsid w:val="00901047"/>
    <w:rsid w:val="009013BE"/>
    <w:rsid w:val="0090245B"/>
    <w:rsid w:val="00902872"/>
    <w:rsid w:val="00902939"/>
    <w:rsid w:val="00902C79"/>
    <w:rsid w:val="00903A11"/>
    <w:rsid w:val="00903B83"/>
    <w:rsid w:val="00903C1C"/>
    <w:rsid w:val="0090430E"/>
    <w:rsid w:val="00904417"/>
    <w:rsid w:val="009045E3"/>
    <w:rsid w:val="00904BA8"/>
    <w:rsid w:val="00904E98"/>
    <w:rsid w:val="0090565C"/>
    <w:rsid w:val="0090655A"/>
    <w:rsid w:val="009068FD"/>
    <w:rsid w:val="00906E7F"/>
    <w:rsid w:val="00907360"/>
    <w:rsid w:val="009077B8"/>
    <w:rsid w:val="00907846"/>
    <w:rsid w:val="00907DE0"/>
    <w:rsid w:val="00910B94"/>
    <w:rsid w:val="00910CDB"/>
    <w:rsid w:val="00911095"/>
    <w:rsid w:val="009122C8"/>
    <w:rsid w:val="009128DB"/>
    <w:rsid w:val="00912F17"/>
    <w:rsid w:val="0091302A"/>
    <w:rsid w:val="00913270"/>
    <w:rsid w:val="00913C13"/>
    <w:rsid w:val="009144FA"/>
    <w:rsid w:val="009145EC"/>
    <w:rsid w:val="00914789"/>
    <w:rsid w:val="00914E59"/>
    <w:rsid w:val="00915E84"/>
    <w:rsid w:val="0091602D"/>
    <w:rsid w:val="009160DC"/>
    <w:rsid w:val="00916C3B"/>
    <w:rsid w:val="00916E4E"/>
    <w:rsid w:val="00920B52"/>
    <w:rsid w:val="00920D06"/>
    <w:rsid w:val="009219B7"/>
    <w:rsid w:val="009219C7"/>
    <w:rsid w:val="00921EBE"/>
    <w:rsid w:val="00922236"/>
    <w:rsid w:val="00922353"/>
    <w:rsid w:val="00922D38"/>
    <w:rsid w:val="0092428F"/>
    <w:rsid w:val="009248C4"/>
    <w:rsid w:val="00924E44"/>
    <w:rsid w:val="0092602A"/>
    <w:rsid w:val="00926B01"/>
    <w:rsid w:val="00926E15"/>
    <w:rsid w:val="00926E57"/>
    <w:rsid w:val="00927661"/>
    <w:rsid w:val="009277C9"/>
    <w:rsid w:val="00930E9B"/>
    <w:rsid w:val="00931D4F"/>
    <w:rsid w:val="00931D8F"/>
    <w:rsid w:val="009324B8"/>
    <w:rsid w:val="00933501"/>
    <w:rsid w:val="00934D86"/>
    <w:rsid w:val="00935777"/>
    <w:rsid w:val="009358E0"/>
    <w:rsid w:val="0093634D"/>
    <w:rsid w:val="00936529"/>
    <w:rsid w:val="00936F94"/>
    <w:rsid w:val="00937EAD"/>
    <w:rsid w:val="009401EF"/>
    <w:rsid w:val="009404FC"/>
    <w:rsid w:val="00940808"/>
    <w:rsid w:val="00941E33"/>
    <w:rsid w:val="0094263D"/>
    <w:rsid w:val="00942BB2"/>
    <w:rsid w:val="009437F5"/>
    <w:rsid w:val="00943F06"/>
    <w:rsid w:val="0094465C"/>
    <w:rsid w:val="00945157"/>
    <w:rsid w:val="009452C6"/>
    <w:rsid w:val="00945883"/>
    <w:rsid w:val="00945EF9"/>
    <w:rsid w:val="009460AB"/>
    <w:rsid w:val="00946A05"/>
    <w:rsid w:val="009478E4"/>
    <w:rsid w:val="00947985"/>
    <w:rsid w:val="00947ACA"/>
    <w:rsid w:val="00950518"/>
    <w:rsid w:val="00950DE5"/>
    <w:rsid w:val="00951447"/>
    <w:rsid w:val="009514F8"/>
    <w:rsid w:val="00951656"/>
    <w:rsid w:val="009517A8"/>
    <w:rsid w:val="009519EE"/>
    <w:rsid w:val="009528C7"/>
    <w:rsid w:val="00952B37"/>
    <w:rsid w:val="00952CEC"/>
    <w:rsid w:val="00952FBF"/>
    <w:rsid w:val="00953EB3"/>
    <w:rsid w:val="00954424"/>
    <w:rsid w:val="00954B66"/>
    <w:rsid w:val="00954D14"/>
    <w:rsid w:val="00954EA1"/>
    <w:rsid w:val="009552A3"/>
    <w:rsid w:val="0095554F"/>
    <w:rsid w:val="009559FD"/>
    <w:rsid w:val="00955B48"/>
    <w:rsid w:val="00955C20"/>
    <w:rsid w:val="00955E47"/>
    <w:rsid w:val="00955F07"/>
    <w:rsid w:val="00956CD0"/>
    <w:rsid w:val="00956ED9"/>
    <w:rsid w:val="0095731F"/>
    <w:rsid w:val="00957670"/>
    <w:rsid w:val="00960225"/>
    <w:rsid w:val="00960A41"/>
    <w:rsid w:val="00960B9E"/>
    <w:rsid w:val="00961367"/>
    <w:rsid w:val="009621CF"/>
    <w:rsid w:val="009627AF"/>
    <w:rsid w:val="0096306F"/>
    <w:rsid w:val="009646C5"/>
    <w:rsid w:val="009652E0"/>
    <w:rsid w:val="00966419"/>
    <w:rsid w:val="009667FD"/>
    <w:rsid w:val="00966D73"/>
    <w:rsid w:val="009673C5"/>
    <w:rsid w:val="009674F4"/>
    <w:rsid w:val="009676E6"/>
    <w:rsid w:val="0097073B"/>
    <w:rsid w:val="009707A7"/>
    <w:rsid w:val="009708F7"/>
    <w:rsid w:val="00970DB3"/>
    <w:rsid w:val="00971007"/>
    <w:rsid w:val="009712B9"/>
    <w:rsid w:val="0097216E"/>
    <w:rsid w:val="00972EA1"/>
    <w:rsid w:val="00973587"/>
    <w:rsid w:val="009738CE"/>
    <w:rsid w:val="00973CFB"/>
    <w:rsid w:val="00974576"/>
    <w:rsid w:val="009749C6"/>
    <w:rsid w:val="00974D15"/>
    <w:rsid w:val="009750B8"/>
    <w:rsid w:val="009750C5"/>
    <w:rsid w:val="00975450"/>
    <w:rsid w:val="009757C6"/>
    <w:rsid w:val="00977044"/>
    <w:rsid w:val="00980348"/>
    <w:rsid w:val="00980576"/>
    <w:rsid w:val="0098081E"/>
    <w:rsid w:val="00980914"/>
    <w:rsid w:val="00981BA4"/>
    <w:rsid w:val="00981D0C"/>
    <w:rsid w:val="009820D2"/>
    <w:rsid w:val="00982B20"/>
    <w:rsid w:val="00982DEA"/>
    <w:rsid w:val="00983562"/>
    <w:rsid w:val="00983BAA"/>
    <w:rsid w:val="00983C01"/>
    <w:rsid w:val="0098403B"/>
    <w:rsid w:val="0098499C"/>
    <w:rsid w:val="009849D0"/>
    <w:rsid w:val="00984C7A"/>
    <w:rsid w:val="0098524B"/>
    <w:rsid w:val="009855AD"/>
    <w:rsid w:val="00986A77"/>
    <w:rsid w:val="009872E0"/>
    <w:rsid w:val="00987383"/>
    <w:rsid w:val="009876C0"/>
    <w:rsid w:val="00987805"/>
    <w:rsid w:val="009902FE"/>
    <w:rsid w:val="00990AE3"/>
    <w:rsid w:val="00990B6B"/>
    <w:rsid w:val="00990F16"/>
    <w:rsid w:val="00990F96"/>
    <w:rsid w:val="0099117C"/>
    <w:rsid w:val="009911E2"/>
    <w:rsid w:val="009914DB"/>
    <w:rsid w:val="009914FF"/>
    <w:rsid w:val="00991676"/>
    <w:rsid w:val="009920FD"/>
    <w:rsid w:val="00992187"/>
    <w:rsid w:val="00992CCB"/>
    <w:rsid w:val="0099318E"/>
    <w:rsid w:val="009938F6"/>
    <w:rsid w:val="00993C49"/>
    <w:rsid w:val="00993E46"/>
    <w:rsid w:val="009946CF"/>
    <w:rsid w:val="009947DB"/>
    <w:rsid w:val="00994D04"/>
    <w:rsid w:val="00994E2F"/>
    <w:rsid w:val="009960E9"/>
    <w:rsid w:val="00996809"/>
    <w:rsid w:val="00996F57"/>
    <w:rsid w:val="00997009"/>
    <w:rsid w:val="00997CB0"/>
    <w:rsid w:val="00997EFE"/>
    <w:rsid w:val="009A065B"/>
    <w:rsid w:val="009A0854"/>
    <w:rsid w:val="009A0E2B"/>
    <w:rsid w:val="009A10B1"/>
    <w:rsid w:val="009A2106"/>
    <w:rsid w:val="009A21A2"/>
    <w:rsid w:val="009A25D8"/>
    <w:rsid w:val="009A26DA"/>
    <w:rsid w:val="009A3495"/>
    <w:rsid w:val="009A3532"/>
    <w:rsid w:val="009A3563"/>
    <w:rsid w:val="009A40D3"/>
    <w:rsid w:val="009A47ED"/>
    <w:rsid w:val="009A4BD0"/>
    <w:rsid w:val="009A5472"/>
    <w:rsid w:val="009A67CD"/>
    <w:rsid w:val="009A6A8F"/>
    <w:rsid w:val="009A6E74"/>
    <w:rsid w:val="009A7515"/>
    <w:rsid w:val="009A7778"/>
    <w:rsid w:val="009B0079"/>
    <w:rsid w:val="009B1DE5"/>
    <w:rsid w:val="009B2141"/>
    <w:rsid w:val="009B23D0"/>
    <w:rsid w:val="009B27B7"/>
    <w:rsid w:val="009B285C"/>
    <w:rsid w:val="009B29FA"/>
    <w:rsid w:val="009B3263"/>
    <w:rsid w:val="009B344C"/>
    <w:rsid w:val="009B355C"/>
    <w:rsid w:val="009B3968"/>
    <w:rsid w:val="009B3ACC"/>
    <w:rsid w:val="009B3DBA"/>
    <w:rsid w:val="009B3F96"/>
    <w:rsid w:val="009B4006"/>
    <w:rsid w:val="009B4731"/>
    <w:rsid w:val="009B4760"/>
    <w:rsid w:val="009B48AB"/>
    <w:rsid w:val="009B4A6D"/>
    <w:rsid w:val="009B5413"/>
    <w:rsid w:val="009B5580"/>
    <w:rsid w:val="009B55A5"/>
    <w:rsid w:val="009B56F4"/>
    <w:rsid w:val="009B5EED"/>
    <w:rsid w:val="009B6568"/>
    <w:rsid w:val="009B71DF"/>
    <w:rsid w:val="009B79D6"/>
    <w:rsid w:val="009B7C78"/>
    <w:rsid w:val="009B7D6E"/>
    <w:rsid w:val="009C0D05"/>
    <w:rsid w:val="009C1632"/>
    <w:rsid w:val="009C1731"/>
    <w:rsid w:val="009C1EDC"/>
    <w:rsid w:val="009C2572"/>
    <w:rsid w:val="009C2E72"/>
    <w:rsid w:val="009C45E4"/>
    <w:rsid w:val="009C483C"/>
    <w:rsid w:val="009C4BD5"/>
    <w:rsid w:val="009C4C85"/>
    <w:rsid w:val="009C4C86"/>
    <w:rsid w:val="009C58D4"/>
    <w:rsid w:val="009C5BD0"/>
    <w:rsid w:val="009C5D0D"/>
    <w:rsid w:val="009C5E5C"/>
    <w:rsid w:val="009C63C3"/>
    <w:rsid w:val="009C67BE"/>
    <w:rsid w:val="009C7284"/>
    <w:rsid w:val="009C7ADA"/>
    <w:rsid w:val="009D0D31"/>
    <w:rsid w:val="009D0E58"/>
    <w:rsid w:val="009D1689"/>
    <w:rsid w:val="009D1824"/>
    <w:rsid w:val="009D18DE"/>
    <w:rsid w:val="009D22D5"/>
    <w:rsid w:val="009D2514"/>
    <w:rsid w:val="009D2A81"/>
    <w:rsid w:val="009D2B61"/>
    <w:rsid w:val="009D351E"/>
    <w:rsid w:val="009D4AE3"/>
    <w:rsid w:val="009D4B49"/>
    <w:rsid w:val="009D505E"/>
    <w:rsid w:val="009D5683"/>
    <w:rsid w:val="009D68F9"/>
    <w:rsid w:val="009D6A0D"/>
    <w:rsid w:val="009D6E15"/>
    <w:rsid w:val="009D7722"/>
    <w:rsid w:val="009D779D"/>
    <w:rsid w:val="009D7DC1"/>
    <w:rsid w:val="009E04A7"/>
    <w:rsid w:val="009E073D"/>
    <w:rsid w:val="009E086D"/>
    <w:rsid w:val="009E0908"/>
    <w:rsid w:val="009E2448"/>
    <w:rsid w:val="009E274F"/>
    <w:rsid w:val="009E317F"/>
    <w:rsid w:val="009E4068"/>
    <w:rsid w:val="009E40E6"/>
    <w:rsid w:val="009E4160"/>
    <w:rsid w:val="009E4535"/>
    <w:rsid w:val="009E46E3"/>
    <w:rsid w:val="009E4874"/>
    <w:rsid w:val="009E4C73"/>
    <w:rsid w:val="009E5ECD"/>
    <w:rsid w:val="009E664F"/>
    <w:rsid w:val="009E6AAB"/>
    <w:rsid w:val="009E6B5A"/>
    <w:rsid w:val="009E7FD0"/>
    <w:rsid w:val="009F015E"/>
    <w:rsid w:val="009F023E"/>
    <w:rsid w:val="009F0BF9"/>
    <w:rsid w:val="009F0DC1"/>
    <w:rsid w:val="009F1BEE"/>
    <w:rsid w:val="009F2DC6"/>
    <w:rsid w:val="009F46DC"/>
    <w:rsid w:val="009F5341"/>
    <w:rsid w:val="009F56A1"/>
    <w:rsid w:val="009F5C4C"/>
    <w:rsid w:val="009F6034"/>
    <w:rsid w:val="009F6CC0"/>
    <w:rsid w:val="009F6F74"/>
    <w:rsid w:val="009F71D9"/>
    <w:rsid w:val="009F7A2A"/>
    <w:rsid w:val="009F7FCE"/>
    <w:rsid w:val="00A00383"/>
    <w:rsid w:val="00A004AD"/>
    <w:rsid w:val="00A00F03"/>
    <w:rsid w:val="00A014A9"/>
    <w:rsid w:val="00A01D1E"/>
    <w:rsid w:val="00A0256B"/>
    <w:rsid w:val="00A02DB2"/>
    <w:rsid w:val="00A032B5"/>
    <w:rsid w:val="00A034D3"/>
    <w:rsid w:val="00A035F4"/>
    <w:rsid w:val="00A03FFB"/>
    <w:rsid w:val="00A046D5"/>
    <w:rsid w:val="00A04E5B"/>
    <w:rsid w:val="00A04E5D"/>
    <w:rsid w:val="00A05A72"/>
    <w:rsid w:val="00A05B4C"/>
    <w:rsid w:val="00A05CE3"/>
    <w:rsid w:val="00A05FB0"/>
    <w:rsid w:val="00A06609"/>
    <w:rsid w:val="00A06754"/>
    <w:rsid w:val="00A074FC"/>
    <w:rsid w:val="00A07624"/>
    <w:rsid w:val="00A1066C"/>
    <w:rsid w:val="00A10694"/>
    <w:rsid w:val="00A111EC"/>
    <w:rsid w:val="00A11877"/>
    <w:rsid w:val="00A11B4C"/>
    <w:rsid w:val="00A12215"/>
    <w:rsid w:val="00A12755"/>
    <w:rsid w:val="00A12F52"/>
    <w:rsid w:val="00A131D3"/>
    <w:rsid w:val="00A134AB"/>
    <w:rsid w:val="00A13676"/>
    <w:rsid w:val="00A137BF"/>
    <w:rsid w:val="00A138B4"/>
    <w:rsid w:val="00A1427D"/>
    <w:rsid w:val="00A14A74"/>
    <w:rsid w:val="00A15CBE"/>
    <w:rsid w:val="00A1621A"/>
    <w:rsid w:val="00A1673A"/>
    <w:rsid w:val="00A16C0F"/>
    <w:rsid w:val="00A16F00"/>
    <w:rsid w:val="00A172BC"/>
    <w:rsid w:val="00A17606"/>
    <w:rsid w:val="00A17EBE"/>
    <w:rsid w:val="00A20162"/>
    <w:rsid w:val="00A207C7"/>
    <w:rsid w:val="00A22550"/>
    <w:rsid w:val="00A24679"/>
    <w:rsid w:val="00A24C6C"/>
    <w:rsid w:val="00A24FAD"/>
    <w:rsid w:val="00A256D1"/>
    <w:rsid w:val="00A25B1A"/>
    <w:rsid w:val="00A26661"/>
    <w:rsid w:val="00A2696D"/>
    <w:rsid w:val="00A26CDE"/>
    <w:rsid w:val="00A26EFD"/>
    <w:rsid w:val="00A27151"/>
    <w:rsid w:val="00A27361"/>
    <w:rsid w:val="00A274E3"/>
    <w:rsid w:val="00A27B6C"/>
    <w:rsid w:val="00A27F4F"/>
    <w:rsid w:val="00A309FE"/>
    <w:rsid w:val="00A30A0B"/>
    <w:rsid w:val="00A30FBF"/>
    <w:rsid w:val="00A3105B"/>
    <w:rsid w:val="00A31347"/>
    <w:rsid w:val="00A31E98"/>
    <w:rsid w:val="00A32C59"/>
    <w:rsid w:val="00A32DAC"/>
    <w:rsid w:val="00A32E9C"/>
    <w:rsid w:val="00A3334C"/>
    <w:rsid w:val="00A3391D"/>
    <w:rsid w:val="00A33AC1"/>
    <w:rsid w:val="00A34031"/>
    <w:rsid w:val="00A343F0"/>
    <w:rsid w:val="00A347BA"/>
    <w:rsid w:val="00A34890"/>
    <w:rsid w:val="00A34F78"/>
    <w:rsid w:val="00A351DB"/>
    <w:rsid w:val="00A35631"/>
    <w:rsid w:val="00A35950"/>
    <w:rsid w:val="00A35C3C"/>
    <w:rsid w:val="00A3604F"/>
    <w:rsid w:val="00A364C8"/>
    <w:rsid w:val="00A364CB"/>
    <w:rsid w:val="00A36E73"/>
    <w:rsid w:val="00A36F08"/>
    <w:rsid w:val="00A37A75"/>
    <w:rsid w:val="00A37E7A"/>
    <w:rsid w:val="00A40260"/>
    <w:rsid w:val="00A404E8"/>
    <w:rsid w:val="00A409E2"/>
    <w:rsid w:val="00A40D2C"/>
    <w:rsid w:val="00A40F14"/>
    <w:rsid w:val="00A41593"/>
    <w:rsid w:val="00A41670"/>
    <w:rsid w:val="00A420F4"/>
    <w:rsid w:val="00A421BC"/>
    <w:rsid w:val="00A42342"/>
    <w:rsid w:val="00A4258B"/>
    <w:rsid w:val="00A4379E"/>
    <w:rsid w:val="00A43B2B"/>
    <w:rsid w:val="00A43D90"/>
    <w:rsid w:val="00A43E92"/>
    <w:rsid w:val="00A449E0"/>
    <w:rsid w:val="00A45865"/>
    <w:rsid w:val="00A461DE"/>
    <w:rsid w:val="00A46445"/>
    <w:rsid w:val="00A468CB"/>
    <w:rsid w:val="00A46CFB"/>
    <w:rsid w:val="00A470F8"/>
    <w:rsid w:val="00A47D7F"/>
    <w:rsid w:val="00A47FA6"/>
    <w:rsid w:val="00A50230"/>
    <w:rsid w:val="00A5078D"/>
    <w:rsid w:val="00A5193D"/>
    <w:rsid w:val="00A51AB7"/>
    <w:rsid w:val="00A51D1B"/>
    <w:rsid w:val="00A5298F"/>
    <w:rsid w:val="00A52E16"/>
    <w:rsid w:val="00A52F64"/>
    <w:rsid w:val="00A53FF1"/>
    <w:rsid w:val="00A54452"/>
    <w:rsid w:val="00A544EC"/>
    <w:rsid w:val="00A5492D"/>
    <w:rsid w:val="00A551E1"/>
    <w:rsid w:val="00A5522D"/>
    <w:rsid w:val="00A55828"/>
    <w:rsid w:val="00A56826"/>
    <w:rsid w:val="00A56A5B"/>
    <w:rsid w:val="00A56B94"/>
    <w:rsid w:val="00A57BBC"/>
    <w:rsid w:val="00A60083"/>
    <w:rsid w:val="00A6048B"/>
    <w:rsid w:val="00A607EE"/>
    <w:rsid w:val="00A60E16"/>
    <w:rsid w:val="00A61227"/>
    <w:rsid w:val="00A613CB"/>
    <w:rsid w:val="00A61B99"/>
    <w:rsid w:val="00A627D5"/>
    <w:rsid w:val="00A62B45"/>
    <w:rsid w:val="00A640C8"/>
    <w:rsid w:val="00A643F9"/>
    <w:rsid w:val="00A64488"/>
    <w:rsid w:val="00A6484A"/>
    <w:rsid w:val="00A649E4"/>
    <w:rsid w:val="00A64BFB"/>
    <w:rsid w:val="00A65929"/>
    <w:rsid w:val="00A65EBC"/>
    <w:rsid w:val="00A65EF8"/>
    <w:rsid w:val="00A661A5"/>
    <w:rsid w:val="00A667A9"/>
    <w:rsid w:val="00A6756A"/>
    <w:rsid w:val="00A67C06"/>
    <w:rsid w:val="00A67C20"/>
    <w:rsid w:val="00A7007E"/>
    <w:rsid w:val="00A7195A"/>
    <w:rsid w:val="00A724F5"/>
    <w:rsid w:val="00A72630"/>
    <w:rsid w:val="00A7349D"/>
    <w:rsid w:val="00A73995"/>
    <w:rsid w:val="00A73D99"/>
    <w:rsid w:val="00A73E6B"/>
    <w:rsid w:val="00A73F51"/>
    <w:rsid w:val="00A748BB"/>
    <w:rsid w:val="00A751EB"/>
    <w:rsid w:val="00A75A1F"/>
    <w:rsid w:val="00A76888"/>
    <w:rsid w:val="00A76C79"/>
    <w:rsid w:val="00A7718A"/>
    <w:rsid w:val="00A80594"/>
    <w:rsid w:val="00A80CBF"/>
    <w:rsid w:val="00A80E7E"/>
    <w:rsid w:val="00A8154E"/>
    <w:rsid w:val="00A81DD3"/>
    <w:rsid w:val="00A82440"/>
    <w:rsid w:val="00A825E8"/>
    <w:rsid w:val="00A83BC0"/>
    <w:rsid w:val="00A84391"/>
    <w:rsid w:val="00A84B68"/>
    <w:rsid w:val="00A84C56"/>
    <w:rsid w:val="00A84E6C"/>
    <w:rsid w:val="00A8522F"/>
    <w:rsid w:val="00A852A3"/>
    <w:rsid w:val="00A8531A"/>
    <w:rsid w:val="00A85947"/>
    <w:rsid w:val="00A85A3A"/>
    <w:rsid w:val="00A85DA5"/>
    <w:rsid w:val="00A862D8"/>
    <w:rsid w:val="00A86E4F"/>
    <w:rsid w:val="00A875B7"/>
    <w:rsid w:val="00A87808"/>
    <w:rsid w:val="00A9026B"/>
    <w:rsid w:val="00A9085E"/>
    <w:rsid w:val="00A9091D"/>
    <w:rsid w:val="00A90C93"/>
    <w:rsid w:val="00A90E32"/>
    <w:rsid w:val="00A91C1C"/>
    <w:rsid w:val="00A9257E"/>
    <w:rsid w:val="00A92B21"/>
    <w:rsid w:val="00A92B91"/>
    <w:rsid w:val="00A93AC8"/>
    <w:rsid w:val="00A94FC9"/>
    <w:rsid w:val="00A95AD6"/>
    <w:rsid w:val="00A95E1D"/>
    <w:rsid w:val="00A96BAF"/>
    <w:rsid w:val="00A96D77"/>
    <w:rsid w:val="00A973F7"/>
    <w:rsid w:val="00AA005F"/>
    <w:rsid w:val="00AA0AFF"/>
    <w:rsid w:val="00AA1679"/>
    <w:rsid w:val="00AA1825"/>
    <w:rsid w:val="00AA2506"/>
    <w:rsid w:val="00AA2EDD"/>
    <w:rsid w:val="00AA2FCB"/>
    <w:rsid w:val="00AA4B2E"/>
    <w:rsid w:val="00AA4DE1"/>
    <w:rsid w:val="00AA4E3C"/>
    <w:rsid w:val="00AA53EE"/>
    <w:rsid w:val="00AA5751"/>
    <w:rsid w:val="00AA6046"/>
    <w:rsid w:val="00AA6398"/>
    <w:rsid w:val="00AA678E"/>
    <w:rsid w:val="00AA6E1C"/>
    <w:rsid w:val="00AA731D"/>
    <w:rsid w:val="00AA7EFE"/>
    <w:rsid w:val="00AB0BC9"/>
    <w:rsid w:val="00AB0C5C"/>
    <w:rsid w:val="00AB1D9C"/>
    <w:rsid w:val="00AB1E50"/>
    <w:rsid w:val="00AB206A"/>
    <w:rsid w:val="00AB2893"/>
    <w:rsid w:val="00AB2DCD"/>
    <w:rsid w:val="00AB2DD5"/>
    <w:rsid w:val="00AB3539"/>
    <w:rsid w:val="00AB365D"/>
    <w:rsid w:val="00AB3B79"/>
    <w:rsid w:val="00AB431D"/>
    <w:rsid w:val="00AB44E7"/>
    <w:rsid w:val="00AB4B31"/>
    <w:rsid w:val="00AB5105"/>
    <w:rsid w:val="00AB51EF"/>
    <w:rsid w:val="00AB52D5"/>
    <w:rsid w:val="00AB595A"/>
    <w:rsid w:val="00AB5C6F"/>
    <w:rsid w:val="00AB6627"/>
    <w:rsid w:val="00AB6677"/>
    <w:rsid w:val="00AB702D"/>
    <w:rsid w:val="00AB778E"/>
    <w:rsid w:val="00AB78D6"/>
    <w:rsid w:val="00AB7927"/>
    <w:rsid w:val="00AC06C5"/>
    <w:rsid w:val="00AC246A"/>
    <w:rsid w:val="00AC34F9"/>
    <w:rsid w:val="00AC3862"/>
    <w:rsid w:val="00AC3F58"/>
    <w:rsid w:val="00AC4674"/>
    <w:rsid w:val="00AC46A5"/>
    <w:rsid w:val="00AC5124"/>
    <w:rsid w:val="00AC55EB"/>
    <w:rsid w:val="00AC6493"/>
    <w:rsid w:val="00AC65A3"/>
    <w:rsid w:val="00AC69B1"/>
    <w:rsid w:val="00AC6C0F"/>
    <w:rsid w:val="00AC7313"/>
    <w:rsid w:val="00AC76A3"/>
    <w:rsid w:val="00AC7A9D"/>
    <w:rsid w:val="00AD0818"/>
    <w:rsid w:val="00AD0EDE"/>
    <w:rsid w:val="00AD1717"/>
    <w:rsid w:val="00AD20D0"/>
    <w:rsid w:val="00AD2A1A"/>
    <w:rsid w:val="00AD2A94"/>
    <w:rsid w:val="00AD2C59"/>
    <w:rsid w:val="00AD2D35"/>
    <w:rsid w:val="00AD2FFC"/>
    <w:rsid w:val="00AD4544"/>
    <w:rsid w:val="00AD50B3"/>
    <w:rsid w:val="00AD532C"/>
    <w:rsid w:val="00AD5766"/>
    <w:rsid w:val="00AD5924"/>
    <w:rsid w:val="00AD5C9E"/>
    <w:rsid w:val="00AD5F01"/>
    <w:rsid w:val="00AD5F90"/>
    <w:rsid w:val="00AD67C4"/>
    <w:rsid w:val="00AD6A45"/>
    <w:rsid w:val="00AD75B0"/>
    <w:rsid w:val="00AD79A4"/>
    <w:rsid w:val="00AD7F29"/>
    <w:rsid w:val="00AE0190"/>
    <w:rsid w:val="00AE0608"/>
    <w:rsid w:val="00AE0CF2"/>
    <w:rsid w:val="00AE10AD"/>
    <w:rsid w:val="00AE2568"/>
    <w:rsid w:val="00AE2F3D"/>
    <w:rsid w:val="00AE416B"/>
    <w:rsid w:val="00AE42C7"/>
    <w:rsid w:val="00AE4543"/>
    <w:rsid w:val="00AE4B2C"/>
    <w:rsid w:val="00AE5158"/>
    <w:rsid w:val="00AE51C5"/>
    <w:rsid w:val="00AE532C"/>
    <w:rsid w:val="00AE5485"/>
    <w:rsid w:val="00AE61F5"/>
    <w:rsid w:val="00AE6CBA"/>
    <w:rsid w:val="00AE6CC9"/>
    <w:rsid w:val="00AE6D7B"/>
    <w:rsid w:val="00AE6E8E"/>
    <w:rsid w:val="00AE7126"/>
    <w:rsid w:val="00AE767C"/>
    <w:rsid w:val="00AE78A6"/>
    <w:rsid w:val="00AE7E81"/>
    <w:rsid w:val="00AF1A19"/>
    <w:rsid w:val="00AF2157"/>
    <w:rsid w:val="00AF2C96"/>
    <w:rsid w:val="00AF2E4E"/>
    <w:rsid w:val="00AF344B"/>
    <w:rsid w:val="00AF3551"/>
    <w:rsid w:val="00AF3816"/>
    <w:rsid w:val="00AF4237"/>
    <w:rsid w:val="00AF4C7E"/>
    <w:rsid w:val="00AF4ED3"/>
    <w:rsid w:val="00AF5042"/>
    <w:rsid w:val="00AF5A6C"/>
    <w:rsid w:val="00AF5AB1"/>
    <w:rsid w:val="00AF6506"/>
    <w:rsid w:val="00AF6530"/>
    <w:rsid w:val="00AF66F6"/>
    <w:rsid w:val="00AF6955"/>
    <w:rsid w:val="00AF6E47"/>
    <w:rsid w:val="00AF6F66"/>
    <w:rsid w:val="00AF7133"/>
    <w:rsid w:val="00AF7ADD"/>
    <w:rsid w:val="00AF7D7D"/>
    <w:rsid w:val="00B00ACB"/>
    <w:rsid w:val="00B00C16"/>
    <w:rsid w:val="00B00D4C"/>
    <w:rsid w:val="00B01AD4"/>
    <w:rsid w:val="00B01BCC"/>
    <w:rsid w:val="00B0230F"/>
    <w:rsid w:val="00B0262E"/>
    <w:rsid w:val="00B02CF8"/>
    <w:rsid w:val="00B0374A"/>
    <w:rsid w:val="00B044FE"/>
    <w:rsid w:val="00B04667"/>
    <w:rsid w:val="00B0495E"/>
    <w:rsid w:val="00B05C81"/>
    <w:rsid w:val="00B063A4"/>
    <w:rsid w:val="00B06DDB"/>
    <w:rsid w:val="00B06E22"/>
    <w:rsid w:val="00B0735C"/>
    <w:rsid w:val="00B073BD"/>
    <w:rsid w:val="00B07962"/>
    <w:rsid w:val="00B07CDB"/>
    <w:rsid w:val="00B07DD5"/>
    <w:rsid w:val="00B07E9D"/>
    <w:rsid w:val="00B100DE"/>
    <w:rsid w:val="00B10139"/>
    <w:rsid w:val="00B106FF"/>
    <w:rsid w:val="00B10BBE"/>
    <w:rsid w:val="00B11375"/>
    <w:rsid w:val="00B11991"/>
    <w:rsid w:val="00B11CF9"/>
    <w:rsid w:val="00B11D78"/>
    <w:rsid w:val="00B11F35"/>
    <w:rsid w:val="00B122EB"/>
    <w:rsid w:val="00B125B9"/>
    <w:rsid w:val="00B12C3A"/>
    <w:rsid w:val="00B14019"/>
    <w:rsid w:val="00B140CC"/>
    <w:rsid w:val="00B141D1"/>
    <w:rsid w:val="00B155AE"/>
    <w:rsid w:val="00B15F6F"/>
    <w:rsid w:val="00B16047"/>
    <w:rsid w:val="00B1612A"/>
    <w:rsid w:val="00B16A5B"/>
    <w:rsid w:val="00B17E4F"/>
    <w:rsid w:val="00B20773"/>
    <w:rsid w:val="00B20A3D"/>
    <w:rsid w:val="00B20F50"/>
    <w:rsid w:val="00B211BD"/>
    <w:rsid w:val="00B211E8"/>
    <w:rsid w:val="00B21220"/>
    <w:rsid w:val="00B217E1"/>
    <w:rsid w:val="00B21CA8"/>
    <w:rsid w:val="00B21D68"/>
    <w:rsid w:val="00B22AEA"/>
    <w:rsid w:val="00B22D4E"/>
    <w:rsid w:val="00B22EE8"/>
    <w:rsid w:val="00B22FE0"/>
    <w:rsid w:val="00B23540"/>
    <w:rsid w:val="00B2482B"/>
    <w:rsid w:val="00B24CB7"/>
    <w:rsid w:val="00B2510D"/>
    <w:rsid w:val="00B25C6C"/>
    <w:rsid w:val="00B268D3"/>
    <w:rsid w:val="00B26CE7"/>
    <w:rsid w:val="00B27479"/>
    <w:rsid w:val="00B27721"/>
    <w:rsid w:val="00B310CC"/>
    <w:rsid w:val="00B3125C"/>
    <w:rsid w:val="00B31747"/>
    <w:rsid w:val="00B324FB"/>
    <w:rsid w:val="00B32C1D"/>
    <w:rsid w:val="00B32CC3"/>
    <w:rsid w:val="00B32F65"/>
    <w:rsid w:val="00B3316C"/>
    <w:rsid w:val="00B33987"/>
    <w:rsid w:val="00B344A1"/>
    <w:rsid w:val="00B34BE5"/>
    <w:rsid w:val="00B34BEF"/>
    <w:rsid w:val="00B34E94"/>
    <w:rsid w:val="00B351D8"/>
    <w:rsid w:val="00B35226"/>
    <w:rsid w:val="00B3532C"/>
    <w:rsid w:val="00B3554C"/>
    <w:rsid w:val="00B3561B"/>
    <w:rsid w:val="00B356D9"/>
    <w:rsid w:val="00B35DAE"/>
    <w:rsid w:val="00B3662A"/>
    <w:rsid w:val="00B367A6"/>
    <w:rsid w:val="00B37B97"/>
    <w:rsid w:val="00B37D0B"/>
    <w:rsid w:val="00B40538"/>
    <w:rsid w:val="00B40A7F"/>
    <w:rsid w:val="00B41800"/>
    <w:rsid w:val="00B42BCA"/>
    <w:rsid w:val="00B43312"/>
    <w:rsid w:val="00B43C18"/>
    <w:rsid w:val="00B43E27"/>
    <w:rsid w:val="00B447D4"/>
    <w:rsid w:val="00B447FC"/>
    <w:rsid w:val="00B447FE"/>
    <w:rsid w:val="00B44827"/>
    <w:rsid w:val="00B44D69"/>
    <w:rsid w:val="00B452F6"/>
    <w:rsid w:val="00B45B10"/>
    <w:rsid w:val="00B45D82"/>
    <w:rsid w:val="00B45E49"/>
    <w:rsid w:val="00B46737"/>
    <w:rsid w:val="00B4745F"/>
    <w:rsid w:val="00B50478"/>
    <w:rsid w:val="00B50940"/>
    <w:rsid w:val="00B51586"/>
    <w:rsid w:val="00B51A42"/>
    <w:rsid w:val="00B51C96"/>
    <w:rsid w:val="00B51CAF"/>
    <w:rsid w:val="00B53A0B"/>
    <w:rsid w:val="00B53F00"/>
    <w:rsid w:val="00B53F2C"/>
    <w:rsid w:val="00B54033"/>
    <w:rsid w:val="00B54524"/>
    <w:rsid w:val="00B553CF"/>
    <w:rsid w:val="00B558F2"/>
    <w:rsid w:val="00B55BA5"/>
    <w:rsid w:val="00B55F07"/>
    <w:rsid w:val="00B55F32"/>
    <w:rsid w:val="00B55FE0"/>
    <w:rsid w:val="00B56262"/>
    <w:rsid w:val="00B5642B"/>
    <w:rsid w:val="00B568B4"/>
    <w:rsid w:val="00B5693C"/>
    <w:rsid w:val="00B57783"/>
    <w:rsid w:val="00B57E8E"/>
    <w:rsid w:val="00B6035D"/>
    <w:rsid w:val="00B60431"/>
    <w:rsid w:val="00B607C3"/>
    <w:rsid w:val="00B61149"/>
    <w:rsid w:val="00B61502"/>
    <w:rsid w:val="00B61893"/>
    <w:rsid w:val="00B61BBD"/>
    <w:rsid w:val="00B62331"/>
    <w:rsid w:val="00B631B9"/>
    <w:rsid w:val="00B63FCB"/>
    <w:rsid w:val="00B6433D"/>
    <w:rsid w:val="00B64810"/>
    <w:rsid w:val="00B6486A"/>
    <w:rsid w:val="00B64912"/>
    <w:rsid w:val="00B64CA7"/>
    <w:rsid w:val="00B6504E"/>
    <w:rsid w:val="00B6514A"/>
    <w:rsid w:val="00B653EB"/>
    <w:rsid w:val="00B65CB3"/>
    <w:rsid w:val="00B66D0D"/>
    <w:rsid w:val="00B671D7"/>
    <w:rsid w:val="00B67717"/>
    <w:rsid w:val="00B677B4"/>
    <w:rsid w:val="00B704A0"/>
    <w:rsid w:val="00B719F7"/>
    <w:rsid w:val="00B72EB2"/>
    <w:rsid w:val="00B73240"/>
    <w:rsid w:val="00B738F2"/>
    <w:rsid w:val="00B74651"/>
    <w:rsid w:val="00B746B5"/>
    <w:rsid w:val="00B754E3"/>
    <w:rsid w:val="00B7579D"/>
    <w:rsid w:val="00B75DB5"/>
    <w:rsid w:val="00B75F19"/>
    <w:rsid w:val="00B776DE"/>
    <w:rsid w:val="00B77AB6"/>
    <w:rsid w:val="00B80043"/>
    <w:rsid w:val="00B803E2"/>
    <w:rsid w:val="00B80ADE"/>
    <w:rsid w:val="00B80B6A"/>
    <w:rsid w:val="00B80C44"/>
    <w:rsid w:val="00B81388"/>
    <w:rsid w:val="00B82731"/>
    <w:rsid w:val="00B82F8E"/>
    <w:rsid w:val="00B83439"/>
    <w:rsid w:val="00B8343B"/>
    <w:rsid w:val="00B83BA7"/>
    <w:rsid w:val="00B83D85"/>
    <w:rsid w:val="00B84BAC"/>
    <w:rsid w:val="00B84C46"/>
    <w:rsid w:val="00B86AE9"/>
    <w:rsid w:val="00B86ED4"/>
    <w:rsid w:val="00B870BF"/>
    <w:rsid w:val="00B870E9"/>
    <w:rsid w:val="00B874DA"/>
    <w:rsid w:val="00B8786E"/>
    <w:rsid w:val="00B87A33"/>
    <w:rsid w:val="00B87EFA"/>
    <w:rsid w:val="00B90389"/>
    <w:rsid w:val="00B90412"/>
    <w:rsid w:val="00B90CCA"/>
    <w:rsid w:val="00B91018"/>
    <w:rsid w:val="00B91389"/>
    <w:rsid w:val="00B91AE2"/>
    <w:rsid w:val="00B91BC7"/>
    <w:rsid w:val="00B91C64"/>
    <w:rsid w:val="00B92366"/>
    <w:rsid w:val="00B92E1F"/>
    <w:rsid w:val="00B94404"/>
    <w:rsid w:val="00B953A9"/>
    <w:rsid w:val="00B9555C"/>
    <w:rsid w:val="00B96BAF"/>
    <w:rsid w:val="00B97133"/>
    <w:rsid w:val="00B9798D"/>
    <w:rsid w:val="00B97B35"/>
    <w:rsid w:val="00B97BF7"/>
    <w:rsid w:val="00BA02CA"/>
    <w:rsid w:val="00BA042D"/>
    <w:rsid w:val="00BA0C2B"/>
    <w:rsid w:val="00BA1417"/>
    <w:rsid w:val="00BA1A0C"/>
    <w:rsid w:val="00BA247C"/>
    <w:rsid w:val="00BA2768"/>
    <w:rsid w:val="00BA2797"/>
    <w:rsid w:val="00BA434F"/>
    <w:rsid w:val="00BA4849"/>
    <w:rsid w:val="00BA4E85"/>
    <w:rsid w:val="00BA4FF8"/>
    <w:rsid w:val="00BA5055"/>
    <w:rsid w:val="00BA50C5"/>
    <w:rsid w:val="00BA561D"/>
    <w:rsid w:val="00BA5749"/>
    <w:rsid w:val="00BA6018"/>
    <w:rsid w:val="00BA62B6"/>
    <w:rsid w:val="00BA6437"/>
    <w:rsid w:val="00BA75EC"/>
    <w:rsid w:val="00BB0147"/>
    <w:rsid w:val="00BB03B9"/>
    <w:rsid w:val="00BB05D7"/>
    <w:rsid w:val="00BB1A03"/>
    <w:rsid w:val="00BB2173"/>
    <w:rsid w:val="00BB21ED"/>
    <w:rsid w:val="00BB2216"/>
    <w:rsid w:val="00BB2265"/>
    <w:rsid w:val="00BB3AC3"/>
    <w:rsid w:val="00BB5707"/>
    <w:rsid w:val="00BB5A18"/>
    <w:rsid w:val="00BB5D6F"/>
    <w:rsid w:val="00BB5EEB"/>
    <w:rsid w:val="00BB6659"/>
    <w:rsid w:val="00BB6BC1"/>
    <w:rsid w:val="00BB7180"/>
    <w:rsid w:val="00BC0001"/>
    <w:rsid w:val="00BC009D"/>
    <w:rsid w:val="00BC018C"/>
    <w:rsid w:val="00BC093D"/>
    <w:rsid w:val="00BC0C49"/>
    <w:rsid w:val="00BC0C4C"/>
    <w:rsid w:val="00BC1B53"/>
    <w:rsid w:val="00BC1EB3"/>
    <w:rsid w:val="00BC1F95"/>
    <w:rsid w:val="00BC24A4"/>
    <w:rsid w:val="00BC2752"/>
    <w:rsid w:val="00BC2A81"/>
    <w:rsid w:val="00BC2B3C"/>
    <w:rsid w:val="00BC4240"/>
    <w:rsid w:val="00BC4E20"/>
    <w:rsid w:val="00BC4FCB"/>
    <w:rsid w:val="00BC5D2B"/>
    <w:rsid w:val="00BC5E7B"/>
    <w:rsid w:val="00BC6CCB"/>
    <w:rsid w:val="00BC7E08"/>
    <w:rsid w:val="00BC7E77"/>
    <w:rsid w:val="00BD0984"/>
    <w:rsid w:val="00BD116B"/>
    <w:rsid w:val="00BD165E"/>
    <w:rsid w:val="00BD22F7"/>
    <w:rsid w:val="00BD2901"/>
    <w:rsid w:val="00BD306E"/>
    <w:rsid w:val="00BD35D8"/>
    <w:rsid w:val="00BD3CF9"/>
    <w:rsid w:val="00BD406E"/>
    <w:rsid w:val="00BD43FA"/>
    <w:rsid w:val="00BD4937"/>
    <w:rsid w:val="00BD4956"/>
    <w:rsid w:val="00BD4D4A"/>
    <w:rsid w:val="00BD60B8"/>
    <w:rsid w:val="00BD6243"/>
    <w:rsid w:val="00BD671A"/>
    <w:rsid w:val="00BD7C7F"/>
    <w:rsid w:val="00BD7E3F"/>
    <w:rsid w:val="00BD7EB9"/>
    <w:rsid w:val="00BE0236"/>
    <w:rsid w:val="00BE08FB"/>
    <w:rsid w:val="00BE09F3"/>
    <w:rsid w:val="00BE0A29"/>
    <w:rsid w:val="00BE0D46"/>
    <w:rsid w:val="00BE0FFC"/>
    <w:rsid w:val="00BE15C2"/>
    <w:rsid w:val="00BE1D87"/>
    <w:rsid w:val="00BE2C28"/>
    <w:rsid w:val="00BE3133"/>
    <w:rsid w:val="00BE32BA"/>
    <w:rsid w:val="00BE4ED9"/>
    <w:rsid w:val="00BE50B8"/>
    <w:rsid w:val="00BE545A"/>
    <w:rsid w:val="00BE56B3"/>
    <w:rsid w:val="00BE6829"/>
    <w:rsid w:val="00BE7C4B"/>
    <w:rsid w:val="00BE7F66"/>
    <w:rsid w:val="00BF037A"/>
    <w:rsid w:val="00BF1264"/>
    <w:rsid w:val="00BF21A5"/>
    <w:rsid w:val="00BF29FA"/>
    <w:rsid w:val="00BF31CB"/>
    <w:rsid w:val="00BF322C"/>
    <w:rsid w:val="00BF33F7"/>
    <w:rsid w:val="00BF35BD"/>
    <w:rsid w:val="00BF411C"/>
    <w:rsid w:val="00BF419A"/>
    <w:rsid w:val="00BF444C"/>
    <w:rsid w:val="00BF4BCC"/>
    <w:rsid w:val="00BF55DF"/>
    <w:rsid w:val="00BF6655"/>
    <w:rsid w:val="00BF71AE"/>
    <w:rsid w:val="00BF720A"/>
    <w:rsid w:val="00BF7272"/>
    <w:rsid w:val="00BF73B9"/>
    <w:rsid w:val="00C00E1B"/>
    <w:rsid w:val="00C0202E"/>
    <w:rsid w:val="00C025BF"/>
    <w:rsid w:val="00C031D5"/>
    <w:rsid w:val="00C035C0"/>
    <w:rsid w:val="00C036B7"/>
    <w:rsid w:val="00C03909"/>
    <w:rsid w:val="00C03A51"/>
    <w:rsid w:val="00C03AD5"/>
    <w:rsid w:val="00C03D66"/>
    <w:rsid w:val="00C03E59"/>
    <w:rsid w:val="00C03F5F"/>
    <w:rsid w:val="00C03FA3"/>
    <w:rsid w:val="00C04523"/>
    <w:rsid w:val="00C04618"/>
    <w:rsid w:val="00C04DC9"/>
    <w:rsid w:val="00C05153"/>
    <w:rsid w:val="00C05461"/>
    <w:rsid w:val="00C05671"/>
    <w:rsid w:val="00C05AA9"/>
    <w:rsid w:val="00C05CE2"/>
    <w:rsid w:val="00C06411"/>
    <w:rsid w:val="00C067C0"/>
    <w:rsid w:val="00C0718B"/>
    <w:rsid w:val="00C07BF1"/>
    <w:rsid w:val="00C07CCA"/>
    <w:rsid w:val="00C106E0"/>
    <w:rsid w:val="00C1129A"/>
    <w:rsid w:val="00C115D1"/>
    <w:rsid w:val="00C120C9"/>
    <w:rsid w:val="00C1278B"/>
    <w:rsid w:val="00C12E2D"/>
    <w:rsid w:val="00C1301E"/>
    <w:rsid w:val="00C1304D"/>
    <w:rsid w:val="00C1399B"/>
    <w:rsid w:val="00C1479D"/>
    <w:rsid w:val="00C15411"/>
    <w:rsid w:val="00C15500"/>
    <w:rsid w:val="00C155EB"/>
    <w:rsid w:val="00C161BB"/>
    <w:rsid w:val="00C166F7"/>
    <w:rsid w:val="00C16937"/>
    <w:rsid w:val="00C16D6C"/>
    <w:rsid w:val="00C178B0"/>
    <w:rsid w:val="00C17B6A"/>
    <w:rsid w:val="00C17DDA"/>
    <w:rsid w:val="00C17E1C"/>
    <w:rsid w:val="00C20005"/>
    <w:rsid w:val="00C204F6"/>
    <w:rsid w:val="00C205AE"/>
    <w:rsid w:val="00C21760"/>
    <w:rsid w:val="00C21813"/>
    <w:rsid w:val="00C21D18"/>
    <w:rsid w:val="00C21D8D"/>
    <w:rsid w:val="00C2207B"/>
    <w:rsid w:val="00C22194"/>
    <w:rsid w:val="00C22DD6"/>
    <w:rsid w:val="00C237A9"/>
    <w:rsid w:val="00C24169"/>
    <w:rsid w:val="00C24A68"/>
    <w:rsid w:val="00C25465"/>
    <w:rsid w:val="00C26397"/>
    <w:rsid w:val="00C26A0E"/>
    <w:rsid w:val="00C26DFC"/>
    <w:rsid w:val="00C2709E"/>
    <w:rsid w:val="00C27672"/>
    <w:rsid w:val="00C2774A"/>
    <w:rsid w:val="00C27828"/>
    <w:rsid w:val="00C27B41"/>
    <w:rsid w:val="00C3004A"/>
    <w:rsid w:val="00C30282"/>
    <w:rsid w:val="00C306F2"/>
    <w:rsid w:val="00C30A17"/>
    <w:rsid w:val="00C30CDF"/>
    <w:rsid w:val="00C30D49"/>
    <w:rsid w:val="00C31125"/>
    <w:rsid w:val="00C31440"/>
    <w:rsid w:val="00C31516"/>
    <w:rsid w:val="00C31917"/>
    <w:rsid w:val="00C31A52"/>
    <w:rsid w:val="00C3227B"/>
    <w:rsid w:val="00C3285F"/>
    <w:rsid w:val="00C32D24"/>
    <w:rsid w:val="00C33041"/>
    <w:rsid w:val="00C3373F"/>
    <w:rsid w:val="00C338B2"/>
    <w:rsid w:val="00C343AA"/>
    <w:rsid w:val="00C35D93"/>
    <w:rsid w:val="00C35FAD"/>
    <w:rsid w:val="00C368F2"/>
    <w:rsid w:val="00C369EA"/>
    <w:rsid w:val="00C36BD6"/>
    <w:rsid w:val="00C36E2F"/>
    <w:rsid w:val="00C37B1F"/>
    <w:rsid w:val="00C37E2B"/>
    <w:rsid w:val="00C401D8"/>
    <w:rsid w:val="00C40AFE"/>
    <w:rsid w:val="00C411A7"/>
    <w:rsid w:val="00C41DE5"/>
    <w:rsid w:val="00C4255E"/>
    <w:rsid w:val="00C427B8"/>
    <w:rsid w:val="00C42824"/>
    <w:rsid w:val="00C42B6B"/>
    <w:rsid w:val="00C43191"/>
    <w:rsid w:val="00C4346A"/>
    <w:rsid w:val="00C43490"/>
    <w:rsid w:val="00C43CCC"/>
    <w:rsid w:val="00C4452C"/>
    <w:rsid w:val="00C44E18"/>
    <w:rsid w:val="00C4549E"/>
    <w:rsid w:val="00C45949"/>
    <w:rsid w:val="00C45B3E"/>
    <w:rsid w:val="00C46420"/>
    <w:rsid w:val="00C471B0"/>
    <w:rsid w:val="00C4760A"/>
    <w:rsid w:val="00C507CF"/>
    <w:rsid w:val="00C50964"/>
    <w:rsid w:val="00C51135"/>
    <w:rsid w:val="00C51503"/>
    <w:rsid w:val="00C51D09"/>
    <w:rsid w:val="00C52691"/>
    <w:rsid w:val="00C5296F"/>
    <w:rsid w:val="00C52EF6"/>
    <w:rsid w:val="00C534F6"/>
    <w:rsid w:val="00C53BD3"/>
    <w:rsid w:val="00C53C03"/>
    <w:rsid w:val="00C53E5C"/>
    <w:rsid w:val="00C54310"/>
    <w:rsid w:val="00C545BB"/>
    <w:rsid w:val="00C545CA"/>
    <w:rsid w:val="00C54ABA"/>
    <w:rsid w:val="00C5533A"/>
    <w:rsid w:val="00C5591D"/>
    <w:rsid w:val="00C55947"/>
    <w:rsid w:val="00C56A22"/>
    <w:rsid w:val="00C56A80"/>
    <w:rsid w:val="00C56EDA"/>
    <w:rsid w:val="00C5701F"/>
    <w:rsid w:val="00C575B3"/>
    <w:rsid w:val="00C57634"/>
    <w:rsid w:val="00C5777C"/>
    <w:rsid w:val="00C57D0A"/>
    <w:rsid w:val="00C57F69"/>
    <w:rsid w:val="00C604AA"/>
    <w:rsid w:val="00C60528"/>
    <w:rsid w:val="00C6098A"/>
    <w:rsid w:val="00C60E01"/>
    <w:rsid w:val="00C60F2B"/>
    <w:rsid w:val="00C615E1"/>
    <w:rsid w:val="00C622B8"/>
    <w:rsid w:val="00C627B9"/>
    <w:rsid w:val="00C62A36"/>
    <w:rsid w:val="00C64C7A"/>
    <w:rsid w:val="00C65127"/>
    <w:rsid w:val="00C6514D"/>
    <w:rsid w:val="00C65FF4"/>
    <w:rsid w:val="00C666A6"/>
    <w:rsid w:val="00C66CFB"/>
    <w:rsid w:val="00C6718E"/>
    <w:rsid w:val="00C70060"/>
    <w:rsid w:val="00C7009F"/>
    <w:rsid w:val="00C703A9"/>
    <w:rsid w:val="00C70B9E"/>
    <w:rsid w:val="00C70D91"/>
    <w:rsid w:val="00C71200"/>
    <w:rsid w:val="00C714C2"/>
    <w:rsid w:val="00C7186E"/>
    <w:rsid w:val="00C71E77"/>
    <w:rsid w:val="00C720B1"/>
    <w:rsid w:val="00C721C4"/>
    <w:rsid w:val="00C7229B"/>
    <w:rsid w:val="00C7234D"/>
    <w:rsid w:val="00C72388"/>
    <w:rsid w:val="00C723DA"/>
    <w:rsid w:val="00C725D5"/>
    <w:rsid w:val="00C72AC4"/>
    <w:rsid w:val="00C72CC8"/>
    <w:rsid w:val="00C72F5F"/>
    <w:rsid w:val="00C72FA4"/>
    <w:rsid w:val="00C746FB"/>
    <w:rsid w:val="00C74CD2"/>
    <w:rsid w:val="00C74FA6"/>
    <w:rsid w:val="00C75039"/>
    <w:rsid w:val="00C75526"/>
    <w:rsid w:val="00C75D6C"/>
    <w:rsid w:val="00C7609F"/>
    <w:rsid w:val="00C76BF5"/>
    <w:rsid w:val="00C76C7B"/>
    <w:rsid w:val="00C76EC7"/>
    <w:rsid w:val="00C77647"/>
    <w:rsid w:val="00C7780E"/>
    <w:rsid w:val="00C80710"/>
    <w:rsid w:val="00C8149B"/>
    <w:rsid w:val="00C81AC5"/>
    <w:rsid w:val="00C81D8E"/>
    <w:rsid w:val="00C81D95"/>
    <w:rsid w:val="00C81DB0"/>
    <w:rsid w:val="00C82033"/>
    <w:rsid w:val="00C820CC"/>
    <w:rsid w:val="00C82266"/>
    <w:rsid w:val="00C823E0"/>
    <w:rsid w:val="00C826E7"/>
    <w:rsid w:val="00C82950"/>
    <w:rsid w:val="00C82CDF"/>
    <w:rsid w:val="00C83064"/>
    <w:rsid w:val="00C830AA"/>
    <w:rsid w:val="00C831F1"/>
    <w:rsid w:val="00C833CA"/>
    <w:rsid w:val="00C83488"/>
    <w:rsid w:val="00C83703"/>
    <w:rsid w:val="00C838FF"/>
    <w:rsid w:val="00C83A76"/>
    <w:rsid w:val="00C83C39"/>
    <w:rsid w:val="00C83C9A"/>
    <w:rsid w:val="00C8441F"/>
    <w:rsid w:val="00C8504C"/>
    <w:rsid w:val="00C853B5"/>
    <w:rsid w:val="00C8617B"/>
    <w:rsid w:val="00C865DC"/>
    <w:rsid w:val="00C8762F"/>
    <w:rsid w:val="00C87C5A"/>
    <w:rsid w:val="00C87C98"/>
    <w:rsid w:val="00C87CC4"/>
    <w:rsid w:val="00C90219"/>
    <w:rsid w:val="00C9075B"/>
    <w:rsid w:val="00C91AD7"/>
    <w:rsid w:val="00C9209E"/>
    <w:rsid w:val="00C9275C"/>
    <w:rsid w:val="00C92E6F"/>
    <w:rsid w:val="00C93106"/>
    <w:rsid w:val="00C93813"/>
    <w:rsid w:val="00C93BF7"/>
    <w:rsid w:val="00C94F27"/>
    <w:rsid w:val="00C956EA"/>
    <w:rsid w:val="00C95F4C"/>
    <w:rsid w:val="00C960AC"/>
    <w:rsid w:val="00C96246"/>
    <w:rsid w:val="00C9667F"/>
    <w:rsid w:val="00C96F29"/>
    <w:rsid w:val="00C97314"/>
    <w:rsid w:val="00C97396"/>
    <w:rsid w:val="00C9785C"/>
    <w:rsid w:val="00C9795C"/>
    <w:rsid w:val="00C97E85"/>
    <w:rsid w:val="00C97EA5"/>
    <w:rsid w:val="00CA005F"/>
    <w:rsid w:val="00CA0256"/>
    <w:rsid w:val="00CA0476"/>
    <w:rsid w:val="00CA0F63"/>
    <w:rsid w:val="00CA17B4"/>
    <w:rsid w:val="00CA17C5"/>
    <w:rsid w:val="00CA2066"/>
    <w:rsid w:val="00CA236D"/>
    <w:rsid w:val="00CA3DFC"/>
    <w:rsid w:val="00CA408E"/>
    <w:rsid w:val="00CA4455"/>
    <w:rsid w:val="00CA4A50"/>
    <w:rsid w:val="00CA4F4A"/>
    <w:rsid w:val="00CA52A8"/>
    <w:rsid w:val="00CA581F"/>
    <w:rsid w:val="00CA584D"/>
    <w:rsid w:val="00CA59D2"/>
    <w:rsid w:val="00CA5C35"/>
    <w:rsid w:val="00CA5C8F"/>
    <w:rsid w:val="00CA5F14"/>
    <w:rsid w:val="00CA6662"/>
    <w:rsid w:val="00CA763F"/>
    <w:rsid w:val="00CB0323"/>
    <w:rsid w:val="00CB08CF"/>
    <w:rsid w:val="00CB095E"/>
    <w:rsid w:val="00CB0C3F"/>
    <w:rsid w:val="00CB0F75"/>
    <w:rsid w:val="00CB1252"/>
    <w:rsid w:val="00CB13A2"/>
    <w:rsid w:val="00CB1FD3"/>
    <w:rsid w:val="00CB33A5"/>
    <w:rsid w:val="00CB3A57"/>
    <w:rsid w:val="00CB3C1B"/>
    <w:rsid w:val="00CB3CBE"/>
    <w:rsid w:val="00CB4237"/>
    <w:rsid w:val="00CB44ED"/>
    <w:rsid w:val="00CB47EF"/>
    <w:rsid w:val="00CB516C"/>
    <w:rsid w:val="00CB54E4"/>
    <w:rsid w:val="00CB54F2"/>
    <w:rsid w:val="00CB5561"/>
    <w:rsid w:val="00CB67EA"/>
    <w:rsid w:val="00CB6F62"/>
    <w:rsid w:val="00CB72FF"/>
    <w:rsid w:val="00CB76C8"/>
    <w:rsid w:val="00CC06B3"/>
    <w:rsid w:val="00CC0ED6"/>
    <w:rsid w:val="00CC165A"/>
    <w:rsid w:val="00CC18F6"/>
    <w:rsid w:val="00CC21B8"/>
    <w:rsid w:val="00CC27F3"/>
    <w:rsid w:val="00CC317B"/>
    <w:rsid w:val="00CC3ADB"/>
    <w:rsid w:val="00CC41D4"/>
    <w:rsid w:val="00CC43EB"/>
    <w:rsid w:val="00CC4924"/>
    <w:rsid w:val="00CC4A35"/>
    <w:rsid w:val="00CC4E02"/>
    <w:rsid w:val="00CC4E18"/>
    <w:rsid w:val="00CC50E4"/>
    <w:rsid w:val="00CC66EA"/>
    <w:rsid w:val="00CC6852"/>
    <w:rsid w:val="00CC7064"/>
    <w:rsid w:val="00CC782F"/>
    <w:rsid w:val="00CD0A11"/>
    <w:rsid w:val="00CD0B0B"/>
    <w:rsid w:val="00CD0E27"/>
    <w:rsid w:val="00CD0EDD"/>
    <w:rsid w:val="00CD10B7"/>
    <w:rsid w:val="00CD1CA9"/>
    <w:rsid w:val="00CD2FCA"/>
    <w:rsid w:val="00CD3143"/>
    <w:rsid w:val="00CD3B9D"/>
    <w:rsid w:val="00CD4B9D"/>
    <w:rsid w:val="00CD4BEF"/>
    <w:rsid w:val="00CD4E6A"/>
    <w:rsid w:val="00CD5504"/>
    <w:rsid w:val="00CD5DB9"/>
    <w:rsid w:val="00CD6338"/>
    <w:rsid w:val="00CD6389"/>
    <w:rsid w:val="00CD6518"/>
    <w:rsid w:val="00CD67E3"/>
    <w:rsid w:val="00CD7477"/>
    <w:rsid w:val="00CD79C9"/>
    <w:rsid w:val="00CE03A3"/>
    <w:rsid w:val="00CE0739"/>
    <w:rsid w:val="00CE08F6"/>
    <w:rsid w:val="00CE0A2F"/>
    <w:rsid w:val="00CE16E1"/>
    <w:rsid w:val="00CE1897"/>
    <w:rsid w:val="00CE1987"/>
    <w:rsid w:val="00CE1992"/>
    <w:rsid w:val="00CE1AF3"/>
    <w:rsid w:val="00CE21BC"/>
    <w:rsid w:val="00CE25FD"/>
    <w:rsid w:val="00CE2F25"/>
    <w:rsid w:val="00CE2F3B"/>
    <w:rsid w:val="00CE3796"/>
    <w:rsid w:val="00CE42F7"/>
    <w:rsid w:val="00CE4A97"/>
    <w:rsid w:val="00CE5DE4"/>
    <w:rsid w:val="00CE61F1"/>
    <w:rsid w:val="00CE7697"/>
    <w:rsid w:val="00CF00D8"/>
    <w:rsid w:val="00CF0857"/>
    <w:rsid w:val="00CF0A81"/>
    <w:rsid w:val="00CF0B49"/>
    <w:rsid w:val="00CF0C86"/>
    <w:rsid w:val="00CF111C"/>
    <w:rsid w:val="00CF12BC"/>
    <w:rsid w:val="00CF1695"/>
    <w:rsid w:val="00CF2932"/>
    <w:rsid w:val="00CF35F2"/>
    <w:rsid w:val="00CF364D"/>
    <w:rsid w:val="00CF39F1"/>
    <w:rsid w:val="00CF429F"/>
    <w:rsid w:val="00CF464A"/>
    <w:rsid w:val="00CF4AD2"/>
    <w:rsid w:val="00CF4E12"/>
    <w:rsid w:val="00CF523E"/>
    <w:rsid w:val="00CF5B22"/>
    <w:rsid w:val="00CF5D69"/>
    <w:rsid w:val="00CF60FD"/>
    <w:rsid w:val="00CF6249"/>
    <w:rsid w:val="00CF6669"/>
    <w:rsid w:val="00CF678E"/>
    <w:rsid w:val="00CF6D47"/>
    <w:rsid w:val="00CF7062"/>
    <w:rsid w:val="00CF7099"/>
    <w:rsid w:val="00CF7455"/>
    <w:rsid w:val="00CF7591"/>
    <w:rsid w:val="00CF7D43"/>
    <w:rsid w:val="00D0079E"/>
    <w:rsid w:val="00D008EC"/>
    <w:rsid w:val="00D00A06"/>
    <w:rsid w:val="00D01532"/>
    <w:rsid w:val="00D018E1"/>
    <w:rsid w:val="00D02034"/>
    <w:rsid w:val="00D022A9"/>
    <w:rsid w:val="00D027C5"/>
    <w:rsid w:val="00D03922"/>
    <w:rsid w:val="00D05EAC"/>
    <w:rsid w:val="00D06435"/>
    <w:rsid w:val="00D066AC"/>
    <w:rsid w:val="00D066C9"/>
    <w:rsid w:val="00D0682E"/>
    <w:rsid w:val="00D11BF2"/>
    <w:rsid w:val="00D121B0"/>
    <w:rsid w:val="00D130EE"/>
    <w:rsid w:val="00D134F9"/>
    <w:rsid w:val="00D1394E"/>
    <w:rsid w:val="00D13C0E"/>
    <w:rsid w:val="00D14AF8"/>
    <w:rsid w:val="00D15773"/>
    <w:rsid w:val="00D161EF"/>
    <w:rsid w:val="00D164C5"/>
    <w:rsid w:val="00D16D68"/>
    <w:rsid w:val="00D179F2"/>
    <w:rsid w:val="00D206B6"/>
    <w:rsid w:val="00D20BBC"/>
    <w:rsid w:val="00D211A0"/>
    <w:rsid w:val="00D215BE"/>
    <w:rsid w:val="00D21775"/>
    <w:rsid w:val="00D218AA"/>
    <w:rsid w:val="00D21AD8"/>
    <w:rsid w:val="00D21C63"/>
    <w:rsid w:val="00D22005"/>
    <w:rsid w:val="00D223CC"/>
    <w:rsid w:val="00D2344B"/>
    <w:rsid w:val="00D2397C"/>
    <w:rsid w:val="00D2398E"/>
    <w:rsid w:val="00D239B2"/>
    <w:rsid w:val="00D23A5D"/>
    <w:rsid w:val="00D24D8B"/>
    <w:rsid w:val="00D2509D"/>
    <w:rsid w:val="00D25657"/>
    <w:rsid w:val="00D25B4D"/>
    <w:rsid w:val="00D25F74"/>
    <w:rsid w:val="00D26207"/>
    <w:rsid w:val="00D26E1F"/>
    <w:rsid w:val="00D26EE6"/>
    <w:rsid w:val="00D26F27"/>
    <w:rsid w:val="00D26F6F"/>
    <w:rsid w:val="00D27A34"/>
    <w:rsid w:val="00D30E9E"/>
    <w:rsid w:val="00D317BE"/>
    <w:rsid w:val="00D31EAC"/>
    <w:rsid w:val="00D3203F"/>
    <w:rsid w:val="00D326D0"/>
    <w:rsid w:val="00D32952"/>
    <w:rsid w:val="00D32B90"/>
    <w:rsid w:val="00D3395C"/>
    <w:rsid w:val="00D34006"/>
    <w:rsid w:val="00D34DF7"/>
    <w:rsid w:val="00D34E53"/>
    <w:rsid w:val="00D350C5"/>
    <w:rsid w:val="00D35AAB"/>
    <w:rsid w:val="00D3603A"/>
    <w:rsid w:val="00D36D7E"/>
    <w:rsid w:val="00D37C09"/>
    <w:rsid w:val="00D401ED"/>
    <w:rsid w:val="00D403BA"/>
    <w:rsid w:val="00D408C3"/>
    <w:rsid w:val="00D40ACA"/>
    <w:rsid w:val="00D40C41"/>
    <w:rsid w:val="00D40FA7"/>
    <w:rsid w:val="00D410C5"/>
    <w:rsid w:val="00D4197E"/>
    <w:rsid w:val="00D41C1C"/>
    <w:rsid w:val="00D42269"/>
    <w:rsid w:val="00D42888"/>
    <w:rsid w:val="00D4289E"/>
    <w:rsid w:val="00D42909"/>
    <w:rsid w:val="00D42EA3"/>
    <w:rsid w:val="00D42FFC"/>
    <w:rsid w:val="00D43E0C"/>
    <w:rsid w:val="00D4430B"/>
    <w:rsid w:val="00D4479B"/>
    <w:rsid w:val="00D44954"/>
    <w:rsid w:val="00D44A10"/>
    <w:rsid w:val="00D4514D"/>
    <w:rsid w:val="00D4518E"/>
    <w:rsid w:val="00D4577E"/>
    <w:rsid w:val="00D46280"/>
    <w:rsid w:val="00D46B13"/>
    <w:rsid w:val="00D46CFD"/>
    <w:rsid w:val="00D46DD2"/>
    <w:rsid w:val="00D4750D"/>
    <w:rsid w:val="00D4792A"/>
    <w:rsid w:val="00D47BB3"/>
    <w:rsid w:val="00D50E15"/>
    <w:rsid w:val="00D50FD3"/>
    <w:rsid w:val="00D51267"/>
    <w:rsid w:val="00D513C4"/>
    <w:rsid w:val="00D51513"/>
    <w:rsid w:val="00D516EC"/>
    <w:rsid w:val="00D5214F"/>
    <w:rsid w:val="00D52B29"/>
    <w:rsid w:val="00D52B91"/>
    <w:rsid w:val="00D53370"/>
    <w:rsid w:val="00D53477"/>
    <w:rsid w:val="00D53FB7"/>
    <w:rsid w:val="00D541CD"/>
    <w:rsid w:val="00D551E9"/>
    <w:rsid w:val="00D55371"/>
    <w:rsid w:val="00D55432"/>
    <w:rsid w:val="00D56225"/>
    <w:rsid w:val="00D56F8D"/>
    <w:rsid w:val="00D571DB"/>
    <w:rsid w:val="00D5753B"/>
    <w:rsid w:val="00D5758A"/>
    <w:rsid w:val="00D575B2"/>
    <w:rsid w:val="00D57A5E"/>
    <w:rsid w:val="00D601BC"/>
    <w:rsid w:val="00D60792"/>
    <w:rsid w:val="00D61240"/>
    <w:rsid w:val="00D61CF4"/>
    <w:rsid w:val="00D61D81"/>
    <w:rsid w:val="00D61DB5"/>
    <w:rsid w:val="00D62130"/>
    <w:rsid w:val="00D627D4"/>
    <w:rsid w:val="00D6424B"/>
    <w:rsid w:val="00D64346"/>
    <w:rsid w:val="00D64389"/>
    <w:rsid w:val="00D64D34"/>
    <w:rsid w:val="00D6562E"/>
    <w:rsid w:val="00D656F4"/>
    <w:rsid w:val="00D65885"/>
    <w:rsid w:val="00D658E8"/>
    <w:rsid w:val="00D65AC2"/>
    <w:rsid w:val="00D66054"/>
    <w:rsid w:val="00D66566"/>
    <w:rsid w:val="00D66C05"/>
    <w:rsid w:val="00D66ED9"/>
    <w:rsid w:val="00D66EF8"/>
    <w:rsid w:val="00D67418"/>
    <w:rsid w:val="00D67940"/>
    <w:rsid w:val="00D7058A"/>
    <w:rsid w:val="00D70B01"/>
    <w:rsid w:val="00D70DDF"/>
    <w:rsid w:val="00D71931"/>
    <w:rsid w:val="00D72B1C"/>
    <w:rsid w:val="00D72D32"/>
    <w:rsid w:val="00D72DF3"/>
    <w:rsid w:val="00D73484"/>
    <w:rsid w:val="00D73F2B"/>
    <w:rsid w:val="00D74090"/>
    <w:rsid w:val="00D745AE"/>
    <w:rsid w:val="00D74766"/>
    <w:rsid w:val="00D74853"/>
    <w:rsid w:val="00D74BC0"/>
    <w:rsid w:val="00D74CA4"/>
    <w:rsid w:val="00D750E4"/>
    <w:rsid w:val="00D762BC"/>
    <w:rsid w:val="00D76B75"/>
    <w:rsid w:val="00D76FB6"/>
    <w:rsid w:val="00D77313"/>
    <w:rsid w:val="00D77530"/>
    <w:rsid w:val="00D7763F"/>
    <w:rsid w:val="00D77D93"/>
    <w:rsid w:val="00D80002"/>
    <w:rsid w:val="00D801AA"/>
    <w:rsid w:val="00D8055C"/>
    <w:rsid w:val="00D808B8"/>
    <w:rsid w:val="00D80EAC"/>
    <w:rsid w:val="00D80F69"/>
    <w:rsid w:val="00D81546"/>
    <w:rsid w:val="00D81C50"/>
    <w:rsid w:val="00D81C98"/>
    <w:rsid w:val="00D820CE"/>
    <w:rsid w:val="00D83017"/>
    <w:rsid w:val="00D838C4"/>
    <w:rsid w:val="00D83A64"/>
    <w:rsid w:val="00D84182"/>
    <w:rsid w:val="00D841AD"/>
    <w:rsid w:val="00D84C23"/>
    <w:rsid w:val="00D84E01"/>
    <w:rsid w:val="00D852C9"/>
    <w:rsid w:val="00D855D2"/>
    <w:rsid w:val="00D85D63"/>
    <w:rsid w:val="00D862D4"/>
    <w:rsid w:val="00D8658D"/>
    <w:rsid w:val="00D8695D"/>
    <w:rsid w:val="00D86D77"/>
    <w:rsid w:val="00D87856"/>
    <w:rsid w:val="00D87E9E"/>
    <w:rsid w:val="00D90A46"/>
    <w:rsid w:val="00D91A5A"/>
    <w:rsid w:val="00D91E64"/>
    <w:rsid w:val="00D91FC0"/>
    <w:rsid w:val="00D935EF"/>
    <w:rsid w:val="00D93BAB"/>
    <w:rsid w:val="00D943BB"/>
    <w:rsid w:val="00D94D86"/>
    <w:rsid w:val="00D94D8B"/>
    <w:rsid w:val="00D94EB8"/>
    <w:rsid w:val="00D95011"/>
    <w:rsid w:val="00D950AF"/>
    <w:rsid w:val="00D963DF"/>
    <w:rsid w:val="00D96D98"/>
    <w:rsid w:val="00D97607"/>
    <w:rsid w:val="00D9777C"/>
    <w:rsid w:val="00D97AFA"/>
    <w:rsid w:val="00DA0228"/>
    <w:rsid w:val="00DA05F5"/>
    <w:rsid w:val="00DA06BF"/>
    <w:rsid w:val="00DA08C6"/>
    <w:rsid w:val="00DA0FD8"/>
    <w:rsid w:val="00DA12BF"/>
    <w:rsid w:val="00DA19C6"/>
    <w:rsid w:val="00DA1C08"/>
    <w:rsid w:val="00DA1DF2"/>
    <w:rsid w:val="00DA1EE5"/>
    <w:rsid w:val="00DA20DB"/>
    <w:rsid w:val="00DA21F8"/>
    <w:rsid w:val="00DA2F79"/>
    <w:rsid w:val="00DA3C58"/>
    <w:rsid w:val="00DA443D"/>
    <w:rsid w:val="00DA48E1"/>
    <w:rsid w:val="00DA563A"/>
    <w:rsid w:val="00DA605D"/>
    <w:rsid w:val="00DA6426"/>
    <w:rsid w:val="00DA66E3"/>
    <w:rsid w:val="00DA6FFD"/>
    <w:rsid w:val="00DA7C1A"/>
    <w:rsid w:val="00DB0332"/>
    <w:rsid w:val="00DB0C93"/>
    <w:rsid w:val="00DB1CB6"/>
    <w:rsid w:val="00DB20C8"/>
    <w:rsid w:val="00DB29AC"/>
    <w:rsid w:val="00DB3C75"/>
    <w:rsid w:val="00DB3E1F"/>
    <w:rsid w:val="00DB40A7"/>
    <w:rsid w:val="00DB41FA"/>
    <w:rsid w:val="00DB42EB"/>
    <w:rsid w:val="00DB4318"/>
    <w:rsid w:val="00DB5112"/>
    <w:rsid w:val="00DB6B96"/>
    <w:rsid w:val="00DB6DFE"/>
    <w:rsid w:val="00DB6E32"/>
    <w:rsid w:val="00DB71C2"/>
    <w:rsid w:val="00DB7C27"/>
    <w:rsid w:val="00DC0011"/>
    <w:rsid w:val="00DC044D"/>
    <w:rsid w:val="00DC0489"/>
    <w:rsid w:val="00DC0B0A"/>
    <w:rsid w:val="00DC102B"/>
    <w:rsid w:val="00DC124F"/>
    <w:rsid w:val="00DC1517"/>
    <w:rsid w:val="00DC1D56"/>
    <w:rsid w:val="00DC2D48"/>
    <w:rsid w:val="00DC32E4"/>
    <w:rsid w:val="00DC34AC"/>
    <w:rsid w:val="00DC3859"/>
    <w:rsid w:val="00DC3F7C"/>
    <w:rsid w:val="00DC4BCB"/>
    <w:rsid w:val="00DC5201"/>
    <w:rsid w:val="00DC5657"/>
    <w:rsid w:val="00DC588C"/>
    <w:rsid w:val="00DC5962"/>
    <w:rsid w:val="00DC6929"/>
    <w:rsid w:val="00DC7703"/>
    <w:rsid w:val="00DC7C80"/>
    <w:rsid w:val="00DC7D56"/>
    <w:rsid w:val="00DC7D5F"/>
    <w:rsid w:val="00DC7F2E"/>
    <w:rsid w:val="00DD0361"/>
    <w:rsid w:val="00DD040D"/>
    <w:rsid w:val="00DD0585"/>
    <w:rsid w:val="00DD066A"/>
    <w:rsid w:val="00DD0A39"/>
    <w:rsid w:val="00DD0CA9"/>
    <w:rsid w:val="00DD0CC3"/>
    <w:rsid w:val="00DD1AD3"/>
    <w:rsid w:val="00DD290D"/>
    <w:rsid w:val="00DD40B0"/>
    <w:rsid w:val="00DD4702"/>
    <w:rsid w:val="00DD4CDA"/>
    <w:rsid w:val="00DD4EA5"/>
    <w:rsid w:val="00DD5343"/>
    <w:rsid w:val="00DD5939"/>
    <w:rsid w:val="00DD65AB"/>
    <w:rsid w:val="00DD65E3"/>
    <w:rsid w:val="00DD6E08"/>
    <w:rsid w:val="00DD6E11"/>
    <w:rsid w:val="00DD71CE"/>
    <w:rsid w:val="00DD737D"/>
    <w:rsid w:val="00DE0177"/>
    <w:rsid w:val="00DE04AA"/>
    <w:rsid w:val="00DE131D"/>
    <w:rsid w:val="00DE181F"/>
    <w:rsid w:val="00DE195C"/>
    <w:rsid w:val="00DE26D6"/>
    <w:rsid w:val="00DE27A3"/>
    <w:rsid w:val="00DE2CBF"/>
    <w:rsid w:val="00DE2E40"/>
    <w:rsid w:val="00DE2F03"/>
    <w:rsid w:val="00DE3EB7"/>
    <w:rsid w:val="00DE415D"/>
    <w:rsid w:val="00DE501F"/>
    <w:rsid w:val="00DE51C5"/>
    <w:rsid w:val="00DE53D9"/>
    <w:rsid w:val="00DE5808"/>
    <w:rsid w:val="00DE5D43"/>
    <w:rsid w:val="00DE5D59"/>
    <w:rsid w:val="00DE624F"/>
    <w:rsid w:val="00DE6B20"/>
    <w:rsid w:val="00DE702E"/>
    <w:rsid w:val="00DE7685"/>
    <w:rsid w:val="00DE772B"/>
    <w:rsid w:val="00DE7C4B"/>
    <w:rsid w:val="00DF02B9"/>
    <w:rsid w:val="00DF063E"/>
    <w:rsid w:val="00DF0761"/>
    <w:rsid w:val="00DF0A21"/>
    <w:rsid w:val="00DF10FF"/>
    <w:rsid w:val="00DF1E5D"/>
    <w:rsid w:val="00DF25BE"/>
    <w:rsid w:val="00DF2669"/>
    <w:rsid w:val="00DF28DB"/>
    <w:rsid w:val="00DF2CC4"/>
    <w:rsid w:val="00DF3F5C"/>
    <w:rsid w:val="00DF3F78"/>
    <w:rsid w:val="00DF45D9"/>
    <w:rsid w:val="00DF46F5"/>
    <w:rsid w:val="00DF49AB"/>
    <w:rsid w:val="00DF4E85"/>
    <w:rsid w:val="00DF4F4B"/>
    <w:rsid w:val="00DF5953"/>
    <w:rsid w:val="00DF5AEE"/>
    <w:rsid w:val="00DF5D8A"/>
    <w:rsid w:val="00DF62CD"/>
    <w:rsid w:val="00DF64CB"/>
    <w:rsid w:val="00DF6ED6"/>
    <w:rsid w:val="00DF7158"/>
    <w:rsid w:val="00DF794F"/>
    <w:rsid w:val="00E013D1"/>
    <w:rsid w:val="00E0233C"/>
    <w:rsid w:val="00E02433"/>
    <w:rsid w:val="00E045B5"/>
    <w:rsid w:val="00E04904"/>
    <w:rsid w:val="00E051CB"/>
    <w:rsid w:val="00E05860"/>
    <w:rsid w:val="00E05BB1"/>
    <w:rsid w:val="00E06201"/>
    <w:rsid w:val="00E0652B"/>
    <w:rsid w:val="00E06AAF"/>
    <w:rsid w:val="00E07449"/>
    <w:rsid w:val="00E076C3"/>
    <w:rsid w:val="00E077B6"/>
    <w:rsid w:val="00E0792C"/>
    <w:rsid w:val="00E100FB"/>
    <w:rsid w:val="00E106DF"/>
    <w:rsid w:val="00E1078D"/>
    <w:rsid w:val="00E11052"/>
    <w:rsid w:val="00E1148C"/>
    <w:rsid w:val="00E1152E"/>
    <w:rsid w:val="00E1190E"/>
    <w:rsid w:val="00E12012"/>
    <w:rsid w:val="00E12520"/>
    <w:rsid w:val="00E12A50"/>
    <w:rsid w:val="00E12C12"/>
    <w:rsid w:val="00E130BF"/>
    <w:rsid w:val="00E15872"/>
    <w:rsid w:val="00E15CAB"/>
    <w:rsid w:val="00E15E1D"/>
    <w:rsid w:val="00E1676A"/>
    <w:rsid w:val="00E16F78"/>
    <w:rsid w:val="00E173EF"/>
    <w:rsid w:val="00E17A5F"/>
    <w:rsid w:val="00E2003D"/>
    <w:rsid w:val="00E203DA"/>
    <w:rsid w:val="00E21079"/>
    <w:rsid w:val="00E21990"/>
    <w:rsid w:val="00E21A33"/>
    <w:rsid w:val="00E2292A"/>
    <w:rsid w:val="00E22BB1"/>
    <w:rsid w:val="00E23534"/>
    <w:rsid w:val="00E2407E"/>
    <w:rsid w:val="00E24174"/>
    <w:rsid w:val="00E24D48"/>
    <w:rsid w:val="00E24FA5"/>
    <w:rsid w:val="00E2509C"/>
    <w:rsid w:val="00E256CB"/>
    <w:rsid w:val="00E25A98"/>
    <w:rsid w:val="00E25E6D"/>
    <w:rsid w:val="00E263B8"/>
    <w:rsid w:val="00E269A5"/>
    <w:rsid w:val="00E26C5B"/>
    <w:rsid w:val="00E26DD9"/>
    <w:rsid w:val="00E26FCE"/>
    <w:rsid w:val="00E27CC6"/>
    <w:rsid w:val="00E27D13"/>
    <w:rsid w:val="00E3199C"/>
    <w:rsid w:val="00E32521"/>
    <w:rsid w:val="00E32D8F"/>
    <w:rsid w:val="00E330FF"/>
    <w:rsid w:val="00E332F7"/>
    <w:rsid w:val="00E33774"/>
    <w:rsid w:val="00E33C07"/>
    <w:rsid w:val="00E34824"/>
    <w:rsid w:val="00E34A6C"/>
    <w:rsid w:val="00E35240"/>
    <w:rsid w:val="00E35541"/>
    <w:rsid w:val="00E3571B"/>
    <w:rsid w:val="00E35982"/>
    <w:rsid w:val="00E36CA1"/>
    <w:rsid w:val="00E36D0A"/>
    <w:rsid w:val="00E37908"/>
    <w:rsid w:val="00E37AA1"/>
    <w:rsid w:val="00E37E67"/>
    <w:rsid w:val="00E400CA"/>
    <w:rsid w:val="00E40219"/>
    <w:rsid w:val="00E403D5"/>
    <w:rsid w:val="00E407EA"/>
    <w:rsid w:val="00E40A61"/>
    <w:rsid w:val="00E40DC3"/>
    <w:rsid w:val="00E412E3"/>
    <w:rsid w:val="00E41623"/>
    <w:rsid w:val="00E41C18"/>
    <w:rsid w:val="00E41DAE"/>
    <w:rsid w:val="00E42777"/>
    <w:rsid w:val="00E429F6"/>
    <w:rsid w:val="00E43065"/>
    <w:rsid w:val="00E4350B"/>
    <w:rsid w:val="00E435F2"/>
    <w:rsid w:val="00E4386A"/>
    <w:rsid w:val="00E438D2"/>
    <w:rsid w:val="00E43C34"/>
    <w:rsid w:val="00E4428E"/>
    <w:rsid w:val="00E44A90"/>
    <w:rsid w:val="00E44B08"/>
    <w:rsid w:val="00E453F5"/>
    <w:rsid w:val="00E457BF"/>
    <w:rsid w:val="00E45863"/>
    <w:rsid w:val="00E45A01"/>
    <w:rsid w:val="00E45B44"/>
    <w:rsid w:val="00E45CDD"/>
    <w:rsid w:val="00E45DC4"/>
    <w:rsid w:val="00E4685D"/>
    <w:rsid w:val="00E469FD"/>
    <w:rsid w:val="00E46C44"/>
    <w:rsid w:val="00E47064"/>
    <w:rsid w:val="00E4729D"/>
    <w:rsid w:val="00E475AA"/>
    <w:rsid w:val="00E476C1"/>
    <w:rsid w:val="00E47B66"/>
    <w:rsid w:val="00E47C0F"/>
    <w:rsid w:val="00E50718"/>
    <w:rsid w:val="00E50B5B"/>
    <w:rsid w:val="00E51017"/>
    <w:rsid w:val="00E51047"/>
    <w:rsid w:val="00E51078"/>
    <w:rsid w:val="00E513C3"/>
    <w:rsid w:val="00E51461"/>
    <w:rsid w:val="00E51BEF"/>
    <w:rsid w:val="00E52A6A"/>
    <w:rsid w:val="00E52B47"/>
    <w:rsid w:val="00E52CEF"/>
    <w:rsid w:val="00E53455"/>
    <w:rsid w:val="00E536DC"/>
    <w:rsid w:val="00E54A18"/>
    <w:rsid w:val="00E54A9A"/>
    <w:rsid w:val="00E54D5B"/>
    <w:rsid w:val="00E551D1"/>
    <w:rsid w:val="00E553F8"/>
    <w:rsid w:val="00E55506"/>
    <w:rsid w:val="00E55608"/>
    <w:rsid w:val="00E55C84"/>
    <w:rsid w:val="00E570F1"/>
    <w:rsid w:val="00E571B1"/>
    <w:rsid w:val="00E57666"/>
    <w:rsid w:val="00E579DE"/>
    <w:rsid w:val="00E57C10"/>
    <w:rsid w:val="00E57F23"/>
    <w:rsid w:val="00E609FD"/>
    <w:rsid w:val="00E60B64"/>
    <w:rsid w:val="00E61CCE"/>
    <w:rsid w:val="00E622EE"/>
    <w:rsid w:val="00E6265E"/>
    <w:rsid w:val="00E631A4"/>
    <w:rsid w:val="00E63289"/>
    <w:rsid w:val="00E63516"/>
    <w:rsid w:val="00E63990"/>
    <w:rsid w:val="00E63CA3"/>
    <w:rsid w:val="00E641C6"/>
    <w:rsid w:val="00E6561F"/>
    <w:rsid w:val="00E65C12"/>
    <w:rsid w:val="00E65CB1"/>
    <w:rsid w:val="00E66277"/>
    <w:rsid w:val="00E66ADC"/>
    <w:rsid w:val="00E66F22"/>
    <w:rsid w:val="00E6728E"/>
    <w:rsid w:val="00E67369"/>
    <w:rsid w:val="00E6741E"/>
    <w:rsid w:val="00E67B8C"/>
    <w:rsid w:val="00E67BF7"/>
    <w:rsid w:val="00E7062D"/>
    <w:rsid w:val="00E70BB7"/>
    <w:rsid w:val="00E714FE"/>
    <w:rsid w:val="00E7179D"/>
    <w:rsid w:val="00E71C7E"/>
    <w:rsid w:val="00E72310"/>
    <w:rsid w:val="00E72533"/>
    <w:rsid w:val="00E72A1D"/>
    <w:rsid w:val="00E73144"/>
    <w:rsid w:val="00E7355B"/>
    <w:rsid w:val="00E73613"/>
    <w:rsid w:val="00E74035"/>
    <w:rsid w:val="00E745AD"/>
    <w:rsid w:val="00E74F64"/>
    <w:rsid w:val="00E752F2"/>
    <w:rsid w:val="00E75372"/>
    <w:rsid w:val="00E76A8E"/>
    <w:rsid w:val="00E76CAD"/>
    <w:rsid w:val="00E76F29"/>
    <w:rsid w:val="00E778CF"/>
    <w:rsid w:val="00E77D80"/>
    <w:rsid w:val="00E8089E"/>
    <w:rsid w:val="00E80E01"/>
    <w:rsid w:val="00E80F7F"/>
    <w:rsid w:val="00E82276"/>
    <w:rsid w:val="00E822A9"/>
    <w:rsid w:val="00E834BF"/>
    <w:rsid w:val="00E8357A"/>
    <w:rsid w:val="00E83EA4"/>
    <w:rsid w:val="00E85127"/>
    <w:rsid w:val="00E8525F"/>
    <w:rsid w:val="00E85D34"/>
    <w:rsid w:val="00E85D4E"/>
    <w:rsid w:val="00E85EDA"/>
    <w:rsid w:val="00E85F5B"/>
    <w:rsid w:val="00E86FB8"/>
    <w:rsid w:val="00E87427"/>
    <w:rsid w:val="00E87907"/>
    <w:rsid w:val="00E90787"/>
    <w:rsid w:val="00E90F8A"/>
    <w:rsid w:val="00E916EB"/>
    <w:rsid w:val="00E91F2B"/>
    <w:rsid w:val="00E92230"/>
    <w:rsid w:val="00E927B0"/>
    <w:rsid w:val="00E92BC2"/>
    <w:rsid w:val="00E9343B"/>
    <w:rsid w:val="00E93451"/>
    <w:rsid w:val="00E939F4"/>
    <w:rsid w:val="00E93CCB"/>
    <w:rsid w:val="00E9477A"/>
    <w:rsid w:val="00E95BAA"/>
    <w:rsid w:val="00E95CA2"/>
    <w:rsid w:val="00E95DA6"/>
    <w:rsid w:val="00E96397"/>
    <w:rsid w:val="00E96EAA"/>
    <w:rsid w:val="00E971B5"/>
    <w:rsid w:val="00E973C1"/>
    <w:rsid w:val="00E97888"/>
    <w:rsid w:val="00E97C67"/>
    <w:rsid w:val="00E97DA2"/>
    <w:rsid w:val="00EA003C"/>
    <w:rsid w:val="00EA087C"/>
    <w:rsid w:val="00EA0D72"/>
    <w:rsid w:val="00EA0DE6"/>
    <w:rsid w:val="00EA154E"/>
    <w:rsid w:val="00EA1673"/>
    <w:rsid w:val="00EA1A5E"/>
    <w:rsid w:val="00EA1EBD"/>
    <w:rsid w:val="00EA2D99"/>
    <w:rsid w:val="00EA38BA"/>
    <w:rsid w:val="00EA3F2F"/>
    <w:rsid w:val="00EA45C3"/>
    <w:rsid w:val="00EA489A"/>
    <w:rsid w:val="00EA49A8"/>
    <w:rsid w:val="00EA50FC"/>
    <w:rsid w:val="00EA5A02"/>
    <w:rsid w:val="00EA75F3"/>
    <w:rsid w:val="00EB0464"/>
    <w:rsid w:val="00EB0EE5"/>
    <w:rsid w:val="00EB1FBE"/>
    <w:rsid w:val="00EB2A15"/>
    <w:rsid w:val="00EB2B24"/>
    <w:rsid w:val="00EB37C3"/>
    <w:rsid w:val="00EB4117"/>
    <w:rsid w:val="00EB4F20"/>
    <w:rsid w:val="00EB5152"/>
    <w:rsid w:val="00EB5361"/>
    <w:rsid w:val="00EB538F"/>
    <w:rsid w:val="00EB597F"/>
    <w:rsid w:val="00EB5AE1"/>
    <w:rsid w:val="00EB5C73"/>
    <w:rsid w:val="00EB70A4"/>
    <w:rsid w:val="00EB7446"/>
    <w:rsid w:val="00EB7686"/>
    <w:rsid w:val="00EB7B17"/>
    <w:rsid w:val="00EB7FDF"/>
    <w:rsid w:val="00EC02BD"/>
    <w:rsid w:val="00EC12FB"/>
    <w:rsid w:val="00EC1F25"/>
    <w:rsid w:val="00EC2FC7"/>
    <w:rsid w:val="00EC3080"/>
    <w:rsid w:val="00EC333D"/>
    <w:rsid w:val="00EC34EF"/>
    <w:rsid w:val="00EC3CFE"/>
    <w:rsid w:val="00EC438F"/>
    <w:rsid w:val="00EC44F5"/>
    <w:rsid w:val="00EC44F6"/>
    <w:rsid w:val="00EC450D"/>
    <w:rsid w:val="00EC4561"/>
    <w:rsid w:val="00EC4CD6"/>
    <w:rsid w:val="00EC4F75"/>
    <w:rsid w:val="00EC578E"/>
    <w:rsid w:val="00EC5F69"/>
    <w:rsid w:val="00EC70A0"/>
    <w:rsid w:val="00EC76A0"/>
    <w:rsid w:val="00EC7EEA"/>
    <w:rsid w:val="00ED0421"/>
    <w:rsid w:val="00ED0C48"/>
    <w:rsid w:val="00ED0D67"/>
    <w:rsid w:val="00ED1748"/>
    <w:rsid w:val="00ED1B9B"/>
    <w:rsid w:val="00ED1C29"/>
    <w:rsid w:val="00ED23D0"/>
    <w:rsid w:val="00ED24BC"/>
    <w:rsid w:val="00ED25D5"/>
    <w:rsid w:val="00ED2F35"/>
    <w:rsid w:val="00ED30E0"/>
    <w:rsid w:val="00ED32C0"/>
    <w:rsid w:val="00ED37A0"/>
    <w:rsid w:val="00ED45B8"/>
    <w:rsid w:val="00ED46C8"/>
    <w:rsid w:val="00ED4ABA"/>
    <w:rsid w:val="00ED4BE3"/>
    <w:rsid w:val="00ED5714"/>
    <w:rsid w:val="00ED598C"/>
    <w:rsid w:val="00ED5AAA"/>
    <w:rsid w:val="00ED5BD0"/>
    <w:rsid w:val="00ED6BD1"/>
    <w:rsid w:val="00ED75E8"/>
    <w:rsid w:val="00ED764C"/>
    <w:rsid w:val="00ED7985"/>
    <w:rsid w:val="00ED7C59"/>
    <w:rsid w:val="00EE02C9"/>
    <w:rsid w:val="00EE050B"/>
    <w:rsid w:val="00EE0A58"/>
    <w:rsid w:val="00EE1729"/>
    <w:rsid w:val="00EE17FA"/>
    <w:rsid w:val="00EE1C5B"/>
    <w:rsid w:val="00EE220B"/>
    <w:rsid w:val="00EE2553"/>
    <w:rsid w:val="00EE309F"/>
    <w:rsid w:val="00EE323E"/>
    <w:rsid w:val="00EE3457"/>
    <w:rsid w:val="00EE36CC"/>
    <w:rsid w:val="00EE3C7F"/>
    <w:rsid w:val="00EE3DC8"/>
    <w:rsid w:val="00EE3F4B"/>
    <w:rsid w:val="00EE472D"/>
    <w:rsid w:val="00EE4793"/>
    <w:rsid w:val="00EE4B68"/>
    <w:rsid w:val="00EE4D6A"/>
    <w:rsid w:val="00EE4E7F"/>
    <w:rsid w:val="00EE53EE"/>
    <w:rsid w:val="00EE5536"/>
    <w:rsid w:val="00EE655B"/>
    <w:rsid w:val="00EE6E51"/>
    <w:rsid w:val="00EE75BD"/>
    <w:rsid w:val="00EE7BA9"/>
    <w:rsid w:val="00EE7D60"/>
    <w:rsid w:val="00EF01AA"/>
    <w:rsid w:val="00EF0EB1"/>
    <w:rsid w:val="00EF104F"/>
    <w:rsid w:val="00EF1222"/>
    <w:rsid w:val="00EF24A6"/>
    <w:rsid w:val="00EF39AD"/>
    <w:rsid w:val="00EF39D3"/>
    <w:rsid w:val="00EF3A3F"/>
    <w:rsid w:val="00EF4026"/>
    <w:rsid w:val="00EF416C"/>
    <w:rsid w:val="00EF45F8"/>
    <w:rsid w:val="00EF4698"/>
    <w:rsid w:val="00EF494E"/>
    <w:rsid w:val="00EF508B"/>
    <w:rsid w:val="00EF51A8"/>
    <w:rsid w:val="00EF5A7F"/>
    <w:rsid w:val="00EF6557"/>
    <w:rsid w:val="00EF66C8"/>
    <w:rsid w:val="00EF74CA"/>
    <w:rsid w:val="00EF779F"/>
    <w:rsid w:val="00EF7930"/>
    <w:rsid w:val="00EF7E78"/>
    <w:rsid w:val="00F002CB"/>
    <w:rsid w:val="00F008F4"/>
    <w:rsid w:val="00F014D4"/>
    <w:rsid w:val="00F01FA5"/>
    <w:rsid w:val="00F01FE2"/>
    <w:rsid w:val="00F02434"/>
    <w:rsid w:val="00F02BA8"/>
    <w:rsid w:val="00F02EBE"/>
    <w:rsid w:val="00F030DA"/>
    <w:rsid w:val="00F03401"/>
    <w:rsid w:val="00F03CB6"/>
    <w:rsid w:val="00F03F12"/>
    <w:rsid w:val="00F0421D"/>
    <w:rsid w:val="00F04324"/>
    <w:rsid w:val="00F04EAA"/>
    <w:rsid w:val="00F05045"/>
    <w:rsid w:val="00F056C2"/>
    <w:rsid w:val="00F05977"/>
    <w:rsid w:val="00F05D4F"/>
    <w:rsid w:val="00F05F6B"/>
    <w:rsid w:val="00F0607C"/>
    <w:rsid w:val="00F069CB"/>
    <w:rsid w:val="00F07393"/>
    <w:rsid w:val="00F0759B"/>
    <w:rsid w:val="00F078A7"/>
    <w:rsid w:val="00F07CB2"/>
    <w:rsid w:val="00F10197"/>
    <w:rsid w:val="00F103DE"/>
    <w:rsid w:val="00F112E7"/>
    <w:rsid w:val="00F118D2"/>
    <w:rsid w:val="00F11BCB"/>
    <w:rsid w:val="00F12768"/>
    <w:rsid w:val="00F13143"/>
    <w:rsid w:val="00F133EB"/>
    <w:rsid w:val="00F134EA"/>
    <w:rsid w:val="00F142F0"/>
    <w:rsid w:val="00F14362"/>
    <w:rsid w:val="00F14A84"/>
    <w:rsid w:val="00F15298"/>
    <w:rsid w:val="00F152FF"/>
    <w:rsid w:val="00F15893"/>
    <w:rsid w:val="00F16093"/>
    <w:rsid w:val="00F16277"/>
    <w:rsid w:val="00F16362"/>
    <w:rsid w:val="00F167B5"/>
    <w:rsid w:val="00F16E46"/>
    <w:rsid w:val="00F16F43"/>
    <w:rsid w:val="00F17720"/>
    <w:rsid w:val="00F17B4D"/>
    <w:rsid w:val="00F200C3"/>
    <w:rsid w:val="00F20598"/>
    <w:rsid w:val="00F207E1"/>
    <w:rsid w:val="00F210ED"/>
    <w:rsid w:val="00F224AC"/>
    <w:rsid w:val="00F234C4"/>
    <w:rsid w:val="00F2367C"/>
    <w:rsid w:val="00F241A4"/>
    <w:rsid w:val="00F24746"/>
    <w:rsid w:val="00F247EE"/>
    <w:rsid w:val="00F24931"/>
    <w:rsid w:val="00F24A08"/>
    <w:rsid w:val="00F24B66"/>
    <w:rsid w:val="00F24CF4"/>
    <w:rsid w:val="00F24D10"/>
    <w:rsid w:val="00F24E51"/>
    <w:rsid w:val="00F24E66"/>
    <w:rsid w:val="00F25983"/>
    <w:rsid w:val="00F25FD4"/>
    <w:rsid w:val="00F2603E"/>
    <w:rsid w:val="00F26148"/>
    <w:rsid w:val="00F26478"/>
    <w:rsid w:val="00F26489"/>
    <w:rsid w:val="00F267F1"/>
    <w:rsid w:val="00F27490"/>
    <w:rsid w:val="00F27742"/>
    <w:rsid w:val="00F27BB6"/>
    <w:rsid w:val="00F27D97"/>
    <w:rsid w:val="00F30147"/>
    <w:rsid w:val="00F303DF"/>
    <w:rsid w:val="00F3042A"/>
    <w:rsid w:val="00F30D0C"/>
    <w:rsid w:val="00F3114E"/>
    <w:rsid w:val="00F31160"/>
    <w:rsid w:val="00F313B6"/>
    <w:rsid w:val="00F320E6"/>
    <w:rsid w:val="00F32E64"/>
    <w:rsid w:val="00F33786"/>
    <w:rsid w:val="00F33D26"/>
    <w:rsid w:val="00F34F18"/>
    <w:rsid w:val="00F34F95"/>
    <w:rsid w:val="00F35EDF"/>
    <w:rsid w:val="00F35F02"/>
    <w:rsid w:val="00F3740B"/>
    <w:rsid w:val="00F3761E"/>
    <w:rsid w:val="00F37CA0"/>
    <w:rsid w:val="00F37E7F"/>
    <w:rsid w:val="00F4072F"/>
    <w:rsid w:val="00F422D2"/>
    <w:rsid w:val="00F428B9"/>
    <w:rsid w:val="00F429D3"/>
    <w:rsid w:val="00F429DA"/>
    <w:rsid w:val="00F42D27"/>
    <w:rsid w:val="00F42F2A"/>
    <w:rsid w:val="00F43202"/>
    <w:rsid w:val="00F436DF"/>
    <w:rsid w:val="00F439EA"/>
    <w:rsid w:val="00F43BCA"/>
    <w:rsid w:val="00F4457E"/>
    <w:rsid w:val="00F45039"/>
    <w:rsid w:val="00F455EB"/>
    <w:rsid w:val="00F456AE"/>
    <w:rsid w:val="00F45717"/>
    <w:rsid w:val="00F45BA4"/>
    <w:rsid w:val="00F465C7"/>
    <w:rsid w:val="00F46F48"/>
    <w:rsid w:val="00F46F9E"/>
    <w:rsid w:val="00F474C4"/>
    <w:rsid w:val="00F47DD6"/>
    <w:rsid w:val="00F47E09"/>
    <w:rsid w:val="00F50132"/>
    <w:rsid w:val="00F502AC"/>
    <w:rsid w:val="00F507B1"/>
    <w:rsid w:val="00F519DB"/>
    <w:rsid w:val="00F519F2"/>
    <w:rsid w:val="00F528EC"/>
    <w:rsid w:val="00F52929"/>
    <w:rsid w:val="00F52978"/>
    <w:rsid w:val="00F529E9"/>
    <w:rsid w:val="00F52E8B"/>
    <w:rsid w:val="00F533B0"/>
    <w:rsid w:val="00F5357C"/>
    <w:rsid w:val="00F5411C"/>
    <w:rsid w:val="00F5429A"/>
    <w:rsid w:val="00F5548B"/>
    <w:rsid w:val="00F55CD7"/>
    <w:rsid w:val="00F55DB0"/>
    <w:rsid w:val="00F563AF"/>
    <w:rsid w:val="00F5649A"/>
    <w:rsid w:val="00F56AE5"/>
    <w:rsid w:val="00F56FA1"/>
    <w:rsid w:val="00F57130"/>
    <w:rsid w:val="00F57373"/>
    <w:rsid w:val="00F5770F"/>
    <w:rsid w:val="00F5797D"/>
    <w:rsid w:val="00F57B01"/>
    <w:rsid w:val="00F60772"/>
    <w:rsid w:val="00F60B94"/>
    <w:rsid w:val="00F60D1C"/>
    <w:rsid w:val="00F60EC8"/>
    <w:rsid w:val="00F61068"/>
    <w:rsid w:val="00F610D1"/>
    <w:rsid w:val="00F611FA"/>
    <w:rsid w:val="00F615A1"/>
    <w:rsid w:val="00F61C37"/>
    <w:rsid w:val="00F61F5C"/>
    <w:rsid w:val="00F61F82"/>
    <w:rsid w:val="00F621C4"/>
    <w:rsid w:val="00F6236F"/>
    <w:rsid w:val="00F630E2"/>
    <w:rsid w:val="00F6371F"/>
    <w:rsid w:val="00F64017"/>
    <w:rsid w:val="00F64916"/>
    <w:rsid w:val="00F654C2"/>
    <w:rsid w:val="00F6623D"/>
    <w:rsid w:val="00F66A77"/>
    <w:rsid w:val="00F6727F"/>
    <w:rsid w:val="00F67B6C"/>
    <w:rsid w:val="00F70362"/>
    <w:rsid w:val="00F70AC5"/>
    <w:rsid w:val="00F710FE"/>
    <w:rsid w:val="00F71180"/>
    <w:rsid w:val="00F71206"/>
    <w:rsid w:val="00F71736"/>
    <w:rsid w:val="00F73F2F"/>
    <w:rsid w:val="00F7424F"/>
    <w:rsid w:val="00F74AD3"/>
    <w:rsid w:val="00F74CDF"/>
    <w:rsid w:val="00F74DCC"/>
    <w:rsid w:val="00F75C27"/>
    <w:rsid w:val="00F7654A"/>
    <w:rsid w:val="00F76888"/>
    <w:rsid w:val="00F76C03"/>
    <w:rsid w:val="00F76F62"/>
    <w:rsid w:val="00F77B47"/>
    <w:rsid w:val="00F77BA9"/>
    <w:rsid w:val="00F77C80"/>
    <w:rsid w:val="00F77F07"/>
    <w:rsid w:val="00F77F20"/>
    <w:rsid w:val="00F80560"/>
    <w:rsid w:val="00F81A0D"/>
    <w:rsid w:val="00F8242B"/>
    <w:rsid w:val="00F83496"/>
    <w:rsid w:val="00F836CC"/>
    <w:rsid w:val="00F83BC6"/>
    <w:rsid w:val="00F84549"/>
    <w:rsid w:val="00F845FB"/>
    <w:rsid w:val="00F846AD"/>
    <w:rsid w:val="00F847EC"/>
    <w:rsid w:val="00F848C5"/>
    <w:rsid w:val="00F85BA5"/>
    <w:rsid w:val="00F85CDD"/>
    <w:rsid w:val="00F86DF4"/>
    <w:rsid w:val="00F86E1C"/>
    <w:rsid w:val="00F872F9"/>
    <w:rsid w:val="00F875DA"/>
    <w:rsid w:val="00F87A71"/>
    <w:rsid w:val="00F87ED5"/>
    <w:rsid w:val="00F908A0"/>
    <w:rsid w:val="00F908B9"/>
    <w:rsid w:val="00F919B0"/>
    <w:rsid w:val="00F91CB4"/>
    <w:rsid w:val="00F9266E"/>
    <w:rsid w:val="00F927FA"/>
    <w:rsid w:val="00F92B77"/>
    <w:rsid w:val="00F92C74"/>
    <w:rsid w:val="00F93363"/>
    <w:rsid w:val="00F94095"/>
    <w:rsid w:val="00F95116"/>
    <w:rsid w:val="00F95281"/>
    <w:rsid w:val="00F954F5"/>
    <w:rsid w:val="00F97312"/>
    <w:rsid w:val="00F976FA"/>
    <w:rsid w:val="00FA02E0"/>
    <w:rsid w:val="00FA0306"/>
    <w:rsid w:val="00FA0FED"/>
    <w:rsid w:val="00FA23C7"/>
    <w:rsid w:val="00FA2884"/>
    <w:rsid w:val="00FA2B79"/>
    <w:rsid w:val="00FA2F95"/>
    <w:rsid w:val="00FA3A52"/>
    <w:rsid w:val="00FA42D8"/>
    <w:rsid w:val="00FA6225"/>
    <w:rsid w:val="00FA62FA"/>
    <w:rsid w:val="00FA6C0C"/>
    <w:rsid w:val="00FA6CF3"/>
    <w:rsid w:val="00FA6F4D"/>
    <w:rsid w:val="00FA700C"/>
    <w:rsid w:val="00FA7143"/>
    <w:rsid w:val="00FA7CA6"/>
    <w:rsid w:val="00FA7E7F"/>
    <w:rsid w:val="00FB049A"/>
    <w:rsid w:val="00FB0683"/>
    <w:rsid w:val="00FB0728"/>
    <w:rsid w:val="00FB0E42"/>
    <w:rsid w:val="00FB18E0"/>
    <w:rsid w:val="00FB2206"/>
    <w:rsid w:val="00FB313D"/>
    <w:rsid w:val="00FB364F"/>
    <w:rsid w:val="00FB3A73"/>
    <w:rsid w:val="00FB3E53"/>
    <w:rsid w:val="00FB3EE4"/>
    <w:rsid w:val="00FB4513"/>
    <w:rsid w:val="00FB45B9"/>
    <w:rsid w:val="00FB4FA1"/>
    <w:rsid w:val="00FB596E"/>
    <w:rsid w:val="00FB5B9C"/>
    <w:rsid w:val="00FB65D8"/>
    <w:rsid w:val="00FB6C6E"/>
    <w:rsid w:val="00FB7133"/>
    <w:rsid w:val="00FB7482"/>
    <w:rsid w:val="00FB78D2"/>
    <w:rsid w:val="00FB7DF5"/>
    <w:rsid w:val="00FC0AA8"/>
    <w:rsid w:val="00FC15AB"/>
    <w:rsid w:val="00FC1C4F"/>
    <w:rsid w:val="00FC1F1D"/>
    <w:rsid w:val="00FC2041"/>
    <w:rsid w:val="00FC2453"/>
    <w:rsid w:val="00FC2971"/>
    <w:rsid w:val="00FC30A6"/>
    <w:rsid w:val="00FC31BC"/>
    <w:rsid w:val="00FC4401"/>
    <w:rsid w:val="00FC4D73"/>
    <w:rsid w:val="00FC4F8A"/>
    <w:rsid w:val="00FC507F"/>
    <w:rsid w:val="00FC5782"/>
    <w:rsid w:val="00FC5A08"/>
    <w:rsid w:val="00FC61E6"/>
    <w:rsid w:val="00FC6ED5"/>
    <w:rsid w:val="00FC745C"/>
    <w:rsid w:val="00FC76CE"/>
    <w:rsid w:val="00FD03CF"/>
    <w:rsid w:val="00FD0717"/>
    <w:rsid w:val="00FD13CB"/>
    <w:rsid w:val="00FD14AC"/>
    <w:rsid w:val="00FD1D4C"/>
    <w:rsid w:val="00FD1DC6"/>
    <w:rsid w:val="00FD21D8"/>
    <w:rsid w:val="00FD30F8"/>
    <w:rsid w:val="00FD358D"/>
    <w:rsid w:val="00FD3B3F"/>
    <w:rsid w:val="00FD3D74"/>
    <w:rsid w:val="00FD3E81"/>
    <w:rsid w:val="00FD4A43"/>
    <w:rsid w:val="00FD4E78"/>
    <w:rsid w:val="00FD5A5D"/>
    <w:rsid w:val="00FD62AD"/>
    <w:rsid w:val="00FD65D1"/>
    <w:rsid w:val="00FD70A1"/>
    <w:rsid w:val="00FE023C"/>
    <w:rsid w:val="00FE0677"/>
    <w:rsid w:val="00FE0DF4"/>
    <w:rsid w:val="00FE1028"/>
    <w:rsid w:val="00FE19B2"/>
    <w:rsid w:val="00FE2357"/>
    <w:rsid w:val="00FE2862"/>
    <w:rsid w:val="00FE28CF"/>
    <w:rsid w:val="00FE2D64"/>
    <w:rsid w:val="00FE337B"/>
    <w:rsid w:val="00FE3A62"/>
    <w:rsid w:val="00FE3D66"/>
    <w:rsid w:val="00FE3ED2"/>
    <w:rsid w:val="00FE3F88"/>
    <w:rsid w:val="00FE43DC"/>
    <w:rsid w:val="00FE4498"/>
    <w:rsid w:val="00FE4E74"/>
    <w:rsid w:val="00FE5846"/>
    <w:rsid w:val="00FE59B5"/>
    <w:rsid w:val="00FE5DB5"/>
    <w:rsid w:val="00FE6118"/>
    <w:rsid w:val="00FE61FF"/>
    <w:rsid w:val="00FE643A"/>
    <w:rsid w:val="00FE6563"/>
    <w:rsid w:val="00FE6692"/>
    <w:rsid w:val="00FE774B"/>
    <w:rsid w:val="00FF0398"/>
    <w:rsid w:val="00FF0661"/>
    <w:rsid w:val="00FF0904"/>
    <w:rsid w:val="00FF0EB8"/>
    <w:rsid w:val="00FF1370"/>
    <w:rsid w:val="00FF14A5"/>
    <w:rsid w:val="00FF1533"/>
    <w:rsid w:val="00FF183D"/>
    <w:rsid w:val="00FF1847"/>
    <w:rsid w:val="00FF1894"/>
    <w:rsid w:val="00FF29D2"/>
    <w:rsid w:val="00FF2DB4"/>
    <w:rsid w:val="00FF3157"/>
    <w:rsid w:val="00FF3517"/>
    <w:rsid w:val="00FF37B2"/>
    <w:rsid w:val="00FF3B3E"/>
    <w:rsid w:val="00FF4222"/>
    <w:rsid w:val="00FF4461"/>
    <w:rsid w:val="00FF44A5"/>
    <w:rsid w:val="00FF46F9"/>
    <w:rsid w:val="00FF4858"/>
    <w:rsid w:val="00FF5DBC"/>
    <w:rsid w:val="00FF658F"/>
    <w:rsid w:val="00FF693B"/>
    <w:rsid w:val="00FF7017"/>
    <w:rsid w:val="00FF710F"/>
    <w:rsid w:val="00FF7220"/>
    <w:rsid w:val="016B57E7"/>
    <w:rsid w:val="05BB7D33"/>
    <w:rsid w:val="0A4076FB"/>
    <w:rsid w:val="0A790CDF"/>
    <w:rsid w:val="0CA247E5"/>
    <w:rsid w:val="0D737F1F"/>
    <w:rsid w:val="0F1B3E59"/>
    <w:rsid w:val="139E4DA7"/>
    <w:rsid w:val="140C2342"/>
    <w:rsid w:val="18EF004B"/>
    <w:rsid w:val="1A3D24AF"/>
    <w:rsid w:val="1C4A1117"/>
    <w:rsid w:val="1D901DAB"/>
    <w:rsid w:val="202253C5"/>
    <w:rsid w:val="20B1104F"/>
    <w:rsid w:val="22C546DC"/>
    <w:rsid w:val="277B06AC"/>
    <w:rsid w:val="282044D2"/>
    <w:rsid w:val="29C9741A"/>
    <w:rsid w:val="2A224043"/>
    <w:rsid w:val="2A404A13"/>
    <w:rsid w:val="2B8A777E"/>
    <w:rsid w:val="2F9A346B"/>
    <w:rsid w:val="349B74F4"/>
    <w:rsid w:val="361D5962"/>
    <w:rsid w:val="37EF6426"/>
    <w:rsid w:val="39264F8A"/>
    <w:rsid w:val="395C529E"/>
    <w:rsid w:val="39DD453A"/>
    <w:rsid w:val="3A417CBD"/>
    <w:rsid w:val="3AEA4D9A"/>
    <w:rsid w:val="3B820DE6"/>
    <w:rsid w:val="3D0647DC"/>
    <w:rsid w:val="3D795AE8"/>
    <w:rsid w:val="3EF259A5"/>
    <w:rsid w:val="40DF65B0"/>
    <w:rsid w:val="41755C5C"/>
    <w:rsid w:val="43E5279B"/>
    <w:rsid w:val="49605BBF"/>
    <w:rsid w:val="49B43298"/>
    <w:rsid w:val="4ABB259D"/>
    <w:rsid w:val="4B4E2370"/>
    <w:rsid w:val="4D2D61A6"/>
    <w:rsid w:val="4E6B32CD"/>
    <w:rsid w:val="4F1705DA"/>
    <w:rsid w:val="4F68753C"/>
    <w:rsid w:val="50260123"/>
    <w:rsid w:val="53FE3BD2"/>
    <w:rsid w:val="55004DFD"/>
    <w:rsid w:val="557420C1"/>
    <w:rsid w:val="55C75D1C"/>
    <w:rsid w:val="573A75A8"/>
    <w:rsid w:val="5E5336AC"/>
    <w:rsid w:val="5F396F19"/>
    <w:rsid w:val="5F8B7028"/>
    <w:rsid w:val="5FCB28A8"/>
    <w:rsid w:val="620152D8"/>
    <w:rsid w:val="637872C1"/>
    <w:rsid w:val="65A76C21"/>
    <w:rsid w:val="65C92FEA"/>
    <w:rsid w:val="65E0507A"/>
    <w:rsid w:val="68AA6037"/>
    <w:rsid w:val="6ADA6FCD"/>
    <w:rsid w:val="6BCD79A3"/>
    <w:rsid w:val="6C7F50F6"/>
    <w:rsid w:val="6EBC181C"/>
    <w:rsid w:val="700C530F"/>
    <w:rsid w:val="700D7B7B"/>
    <w:rsid w:val="70C851BD"/>
    <w:rsid w:val="70FF23EA"/>
    <w:rsid w:val="723A5E13"/>
    <w:rsid w:val="78922211"/>
    <w:rsid w:val="7E866F8A"/>
    <w:rsid w:val="7ECE51B7"/>
    <w:rsid w:val="7F42196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A2F9F12"/>
  <w15:docId w15:val="{8061462A-A6C6-49A5-A48A-D96A1BB80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uiPriority="39" w:qFormat="1"/>
    <w:lsdException w:name="toc 2" w:uiPriority="39"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99" w:qFormat="1"/>
    <w:lsdException w:name="annotation text" w:uiPriority="99" w:qFormat="1"/>
    <w:lsdException w:name="header" w:qFormat="1"/>
    <w:lsdException w:name="footer" w:uiPriority="99"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Bullet" w:qFormat="1"/>
    <w:lsdException w:name="List Number" w:qFormat="1"/>
    <w:lsdException w:name="List 2"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qFormat="1"/>
    <w:lsdException w:name="Default Paragraph Font" w:semiHidden="1" w:uiPriority="1" w:unhideWhenUsed="1" w:qFormat="1"/>
    <w:lsdException w:name="Body Text" w:qFormat="1"/>
    <w:lsdException w:name="Body Text Indent" w:qFormat="1"/>
    <w:lsdException w:name="Subtitle" w:locked="1" w:uiPriority="11"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locked="1"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semiHidden="1" w:unhideWhenUsed="1" w:qFormat="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29" w:qFormat="1"/>
    <w:lsdException w:name="Intense Quote" w:uiPriority="30" w:qFormat="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Pr>
      <w:rFonts w:eastAsiaTheme="minorEastAsia"/>
      <w:sz w:val="24"/>
      <w:szCs w:val="24"/>
    </w:rPr>
  </w:style>
  <w:style w:type="paragraph" w:styleId="1">
    <w:name w:val="heading 1"/>
    <w:basedOn w:val="a5"/>
    <w:next w:val="a5"/>
    <w:link w:val="10"/>
    <w:qFormat/>
    <w:pPr>
      <w:keepNext/>
      <w:spacing w:before="240" w:after="60"/>
      <w:outlineLvl w:val="0"/>
    </w:pPr>
    <w:rPr>
      <w:rFonts w:ascii="Cambria" w:hAnsi="Cambria"/>
      <w:b/>
      <w:bCs/>
      <w:kern w:val="32"/>
      <w:sz w:val="32"/>
      <w:szCs w:val="32"/>
      <w:lang w:val="zh-CN" w:eastAsia="zh-CN"/>
    </w:rPr>
  </w:style>
  <w:style w:type="paragraph" w:styleId="22">
    <w:name w:val="heading 2"/>
    <w:basedOn w:val="a5"/>
    <w:next w:val="a5"/>
    <w:link w:val="23"/>
    <w:qFormat/>
    <w:pPr>
      <w:keepNext/>
      <w:jc w:val="center"/>
      <w:outlineLvl w:val="1"/>
    </w:pPr>
    <w:rPr>
      <w:rFonts w:ascii="Cambria" w:hAnsi="Cambria"/>
      <w:b/>
      <w:bCs/>
      <w:i/>
      <w:iCs/>
      <w:sz w:val="28"/>
      <w:szCs w:val="28"/>
      <w:lang w:val="zh-CN" w:eastAsia="zh-CN"/>
    </w:rPr>
  </w:style>
  <w:style w:type="paragraph" w:styleId="31">
    <w:name w:val="heading 3"/>
    <w:basedOn w:val="a5"/>
    <w:next w:val="a5"/>
    <w:link w:val="32"/>
    <w:qFormat/>
    <w:pPr>
      <w:keepNext/>
      <w:spacing w:before="240" w:after="60"/>
      <w:outlineLvl w:val="2"/>
    </w:pPr>
    <w:rPr>
      <w:rFonts w:ascii="Cambria" w:hAnsi="Cambria"/>
      <w:b/>
      <w:bCs/>
      <w:sz w:val="26"/>
      <w:szCs w:val="26"/>
      <w:lang w:val="zh-CN" w:eastAsia="zh-CN"/>
    </w:rPr>
  </w:style>
  <w:style w:type="paragraph" w:styleId="41">
    <w:name w:val="heading 4"/>
    <w:basedOn w:val="a5"/>
    <w:next w:val="a5"/>
    <w:link w:val="42"/>
    <w:qFormat/>
    <w:pPr>
      <w:keepNext/>
      <w:spacing w:before="240" w:after="60"/>
      <w:outlineLvl w:val="3"/>
    </w:pPr>
    <w:rPr>
      <w:rFonts w:ascii="Calibri" w:hAnsi="Calibri"/>
      <w:b/>
      <w:bCs/>
      <w:sz w:val="28"/>
      <w:szCs w:val="28"/>
      <w:lang w:val="zh-CN" w:eastAsia="zh-CN"/>
    </w:rPr>
  </w:style>
  <w:style w:type="paragraph" w:styleId="51">
    <w:name w:val="heading 5"/>
    <w:basedOn w:val="a5"/>
    <w:next w:val="a5"/>
    <w:link w:val="52"/>
    <w:qFormat/>
    <w:pPr>
      <w:keepNext/>
      <w:jc w:val="both"/>
      <w:outlineLvl w:val="4"/>
    </w:pPr>
    <w:rPr>
      <w:rFonts w:ascii="Calibri" w:hAnsi="Calibri"/>
      <w:b/>
      <w:bCs/>
      <w:i/>
      <w:iCs/>
      <w:sz w:val="26"/>
      <w:szCs w:val="26"/>
      <w:lang w:val="zh-CN" w:eastAsia="zh-CN"/>
    </w:rPr>
  </w:style>
  <w:style w:type="paragraph" w:styleId="6">
    <w:name w:val="heading 6"/>
    <w:basedOn w:val="a5"/>
    <w:next w:val="a5"/>
    <w:link w:val="60"/>
    <w:qFormat/>
    <w:pPr>
      <w:keepNext/>
      <w:outlineLvl w:val="5"/>
    </w:pPr>
    <w:rPr>
      <w:rFonts w:ascii="Calibri" w:hAnsi="Calibri"/>
      <w:b/>
      <w:bCs/>
      <w:sz w:val="22"/>
      <w:szCs w:val="22"/>
      <w:lang w:val="zh-CN" w:eastAsia="zh-CN"/>
    </w:rPr>
  </w:style>
  <w:style w:type="paragraph" w:styleId="7">
    <w:name w:val="heading 7"/>
    <w:basedOn w:val="a5"/>
    <w:next w:val="a5"/>
    <w:link w:val="70"/>
    <w:uiPriority w:val="9"/>
    <w:semiHidden/>
    <w:unhideWhenUsed/>
    <w:qFormat/>
    <w:locked/>
    <w:pPr>
      <w:spacing w:after="120" w:line="252" w:lineRule="auto"/>
      <w:jc w:val="center"/>
      <w:outlineLvl w:val="6"/>
    </w:pPr>
    <w:rPr>
      <w:rFonts w:ascii="Cambria" w:hAnsi="Cambria"/>
      <w:i/>
      <w:iCs/>
      <w:caps/>
      <w:color w:val="943634"/>
      <w:spacing w:val="10"/>
      <w:sz w:val="22"/>
      <w:szCs w:val="22"/>
      <w:lang w:val="zh-CN" w:eastAsia="en-US"/>
    </w:rPr>
  </w:style>
  <w:style w:type="paragraph" w:styleId="8">
    <w:name w:val="heading 8"/>
    <w:basedOn w:val="a5"/>
    <w:next w:val="a5"/>
    <w:link w:val="80"/>
    <w:uiPriority w:val="9"/>
    <w:semiHidden/>
    <w:unhideWhenUsed/>
    <w:qFormat/>
    <w:locked/>
    <w:pPr>
      <w:spacing w:after="120" w:line="252" w:lineRule="auto"/>
      <w:jc w:val="center"/>
      <w:outlineLvl w:val="7"/>
    </w:pPr>
    <w:rPr>
      <w:rFonts w:ascii="Cambria" w:hAnsi="Cambria"/>
      <w:caps/>
      <w:spacing w:val="10"/>
      <w:sz w:val="20"/>
      <w:szCs w:val="20"/>
      <w:lang w:val="zh-CN" w:eastAsia="en-US"/>
    </w:rPr>
  </w:style>
  <w:style w:type="paragraph" w:styleId="9">
    <w:name w:val="heading 9"/>
    <w:basedOn w:val="a5"/>
    <w:next w:val="a5"/>
    <w:link w:val="90"/>
    <w:uiPriority w:val="9"/>
    <w:semiHidden/>
    <w:unhideWhenUsed/>
    <w:qFormat/>
    <w:locked/>
    <w:pPr>
      <w:spacing w:after="120" w:line="252" w:lineRule="auto"/>
      <w:jc w:val="center"/>
      <w:outlineLvl w:val="8"/>
    </w:pPr>
    <w:rPr>
      <w:rFonts w:ascii="Cambria" w:hAnsi="Cambria"/>
      <w:i/>
      <w:iCs/>
      <w:caps/>
      <w:spacing w:val="10"/>
      <w:sz w:val="20"/>
      <w:szCs w:val="20"/>
      <w:lang w:val="zh-CN" w:eastAsia="en-US"/>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FollowedHyperlink"/>
    <w:qFormat/>
    <w:rPr>
      <w:rFonts w:cs="Times New Roman"/>
      <w:color w:val="800080"/>
      <w:u w:val="single"/>
    </w:rPr>
  </w:style>
  <w:style w:type="character" w:styleId="aa">
    <w:name w:val="footnote reference"/>
    <w:link w:val="11"/>
    <w:qFormat/>
    <w:rPr>
      <w:rFonts w:cs="Times New Roman"/>
      <w:vertAlign w:val="superscript"/>
    </w:rPr>
  </w:style>
  <w:style w:type="paragraph" w:customStyle="1" w:styleId="11">
    <w:name w:val="Знак сноски1"/>
    <w:link w:val="aa"/>
    <w:qFormat/>
    <w:rPr>
      <w:rFonts w:eastAsiaTheme="minorEastAsia"/>
      <w:vertAlign w:val="superscript"/>
    </w:rPr>
  </w:style>
  <w:style w:type="character" w:styleId="ab">
    <w:name w:val="annotation reference"/>
    <w:qFormat/>
    <w:rPr>
      <w:sz w:val="16"/>
      <w:szCs w:val="16"/>
    </w:rPr>
  </w:style>
  <w:style w:type="character" w:styleId="ac">
    <w:name w:val="endnote reference"/>
    <w:qFormat/>
    <w:rPr>
      <w:vertAlign w:val="superscript"/>
    </w:rPr>
  </w:style>
  <w:style w:type="character" w:styleId="ad">
    <w:name w:val="Emphasis"/>
    <w:uiPriority w:val="20"/>
    <w:qFormat/>
    <w:locked/>
    <w:rPr>
      <w:caps/>
      <w:spacing w:val="5"/>
      <w:sz w:val="20"/>
      <w:szCs w:val="20"/>
    </w:rPr>
  </w:style>
  <w:style w:type="character" w:styleId="ae">
    <w:name w:val="Hyperlink"/>
    <w:uiPriority w:val="99"/>
    <w:qFormat/>
    <w:rPr>
      <w:rFonts w:cs="Times New Roman"/>
      <w:color w:val="0000FF"/>
      <w:u w:val="single"/>
    </w:rPr>
  </w:style>
  <w:style w:type="character" w:styleId="af">
    <w:name w:val="page number"/>
    <w:qFormat/>
    <w:rPr>
      <w:rFonts w:cs="Times New Roman"/>
    </w:rPr>
  </w:style>
  <w:style w:type="character" w:styleId="af0">
    <w:name w:val="Strong"/>
    <w:qFormat/>
    <w:rPr>
      <w:rFonts w:cs="Times New Roman"/>
      <w:b/>
    </w:rPr>
  </w:style>
  <w:style w:type="paragraph" w:styleId="af1">
    <w:name w:val="Balloon Text"/>
    <w:basedOn w:val="a5"/>
    <w:link w:val="af2"/>
    <w:uiPriority w:val="99"/>
    <w:qFormat/>
    <w:rPr>
      <w:sz w:val="20"/>
      <w:szCs w:val="20"/>
      <w:lang w:val="zh-CN" w:eastAsia="zh-CN"/>
    </w:rPr>
  </w:style>
  <w:style w:type="paragraph" w:styleId="24">
    <w:name w:val="Body Text 2"/>
    <w:basedOn w:val="a5"/>
    <w:link w:val="25"/>
    <w:qFormat/>
    <w:pPr>
      <w:jc w:val="both"/>
    </w:pPr>
    <w:rPr>
      <w:lang w:val="zh-CN" w:eastAsia="zh-CN"/>
    </w:rPr>
  </w:style>
  <w:style w:type="paragraph" w:styleId="50">
    <w:name w:val="List Number 5"/>
    <w:basedOn w:val="a5"/>
    <w:qFormat/>
    <w:pPr>
      <w:numPr>
        <w:numId w:val="1"/>
      </w:numPr>
      <w:tabs>
        <w:tab w:val="clear" w:pos="28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20"/>
      <w:lang w:val="en-US" w:eastAsia="en-US"/>
    </w:rPr>
  </w:style>
  <w:style w:type="paragraph" w:styleId="26">
    <w:name w:val="envelope return"/>
    <w:basedOn w:val="a5"/>
    <w:qFormat/>
    <w:pPr>
      <w:jc w:val="both"/>
    </w:pPr>
    <w:rPr>
      <w:sz w:val="20"/>
      <w:szCs w:val="20"/>
      <w:lang w:eastAsia="en-US"/>
    </w:rPr>
  </w:style>
  <w:style w:type="paragraph" w:styleId="af3">
    <w:name w:val="Plain Text"/>
    <w:basedOn w:val="a5"/>
    <w:link w:val="af4"/>
    <w:uiPriority w:val="99"/>
    <w:qFormat/>
    <w:pPr>
      <w:overflowPunct w:val="0"/>
      <w:autoSpaceDE w:val="0"/>
      <w:autoSpaceDN w:val="0"/>
      <w:adjustRightInd w:val="0"/>
      <w:textAlignment w:val="baseline"/>
    </w:pPr>
    <w:rPr>
      <w:rFonts w:ascii="Courier New" w:hAnsi="Courier New"/>
      <w:sz w:val="20"/>
      <w:szCs w:val="20"/>
      <w:lang w:val="zh-CN" w:eastAsia="zh-CN"/>
    </w:rPr>
  </w:style>
  <w:style w:type="paragraph" w:styleId="33">
    <w:name w:val="Body Text Indent 3"/>
    <w:basedOn w:val="a5"/>
    <w:link w:val="34"/>
    <w:qFormat/>
    <w:pPr>
      <w:ind w:firstLine="720"/>
      <w:jc w:val="both"/>
    </w:pPr>
    <w:rPr>
      <w:sz w:val="16"/>
      <w:szCs w:val="16"/>
      <w:lang w:val="zh-CN" w:eastAsia="zh-CN"/>
    </w:rPr>
  </w:style>
  <w:style w:type="paragraph" w:styleId="af5">
    <w:name w:val="endnote text"/>
    <w:basedOn w:val="a5"/>
    <w:link w:val="af6"/>
    <w:qFormat/>
    <w:rPr>
      <w:sz w:val="20"/>
      <w:szCs w:val="20"/>
    </w:rPr>
  </w:style>
  <w:style w:type="paragraph" w:styleId="af7">
    <w:name w:val="caption"/>
    <w:basedOn w:val="a5"/>
    <w:qFormat/>
    <w:pPr>
      <w:widowControl w:val="0"/>
      <w:jc w:val="center"/>
    </w:pPr>
    <w:rPr>
      <w:sz w:val="28"/>
      <w:szCs w:val="20"/>
    </w:rPr>
  </w:style>
  <w:style w:type="paragraph" w:styleId="af8">
    <w:name w:val="annotation text"/>
    <w:basedOn w:val="a5"/>
    <w:link w:val="af9"/>
    <w:uiPriority w:val="99"/>
    <w:qFormat/>
    <w:rPr>
      <w:sz w:val="20"/>
      <w:szCs w:val="20"/>
    </w:rPr>
  </w:style>
  <w:style w:type="paragraph" w:styleId="afa">
    <w:name w:val="annotation subject"/>
    <w:basedOn w:val="af8"/>
    <w:next w:val="af8"/>
    <w:link w:val="afb"/>
    <w:uiPriority w:val="99"/>
    <w:qFormat/>
    <w:rPr>
      <w:b/>
      <w:bCs/>
      <w:lang w:val="zh-CN" w:eastAsia="zh-CN"/>
    </w:rPr>
  </w:style>
  <w:style w:type="paragraph" w:styleId="afc">
    <w:name w:val="Document Map"/>
    <w:basedOn w:val="a5"/>
    <w:link w:val="afd"/>
    <w:qFormat/>
    <w:rPr>
      <w:rFonts w:ascii="Tahoma" w:hAnsi="Tahoma" w:cs="Tahoma"/>
      <w:sz w:val="16"/>
      <w:szCs w:val="16"/>
    </w:rPr>
  </w:style>
  <w:style w:type="paragraph" w:styleId="afe">
    <w:name w:val="footnote text"/>
    <w:basedOn w:val="a5"/>
    <w:link w:val="aff"/>
    <w:uiPriority w:val="99"/>
    <w:qFormat/>
    <w:pPr>
      <w:tabs>
        <w:tab w:val="left" w:pos="1492"/>
      </w:tabs>
      <w:ind w:left="1492" w:hanging="360"/>
    </w:pPr>
    <w:rPr>
      <w:sz w:val="20"/>
      <w:szCs w:val="20"/>
    </w:rPr>
  </w:style>
  <w:style w:type="paragraph" w:styleId="81">
    <w:name w:val="toc 8"/>
    <w:basedOn w:val="a5"/>
    <w:next w:val="a5"/>
    <w:autoRedefine/>
    <w:uiPriority w:val="39"/>
    <w:qFormat/>
    <w:pPr>
      <w:ind w:left="1680"/>
    </w:pPr>
    <w:rPr>
      <w:rFonts w:ascii="Calibri" w:hAnsi="Calibri" w:cs="Calibri"/>
      <w:sz w:val="18"/>
      <w:szCs w:val="18"/>
    </w:rPr>
  </w:style>
  <w:style w:type="paragraph" w:styleId="30">
    <w:name w:val="List Number 3"/>
    <w:basedOn w:val="a5"/>
    <w:qFormat/>
    <w:pPr>
      <w:numPr>
        <w:numId w:val="2"/>
      </w:numPr>
      <w:tabs>
        <w:tab w:val="clear" w:pos="283"/>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20"/>
      <w:lang w:val="en-US" w:eastAsia="en-US"/>
    </w:rPr>
  </w:style>
  <w:style w:type="paragraph" w:styleId="aff0">
    <w:name w:val="header"/>
    <w:basedOn w:val="a5"/>
    <w:link w:val="aff1"/>
    <w:qFormat/>
    <w:pPr>
      <w:tabs>
        <w:tab w:val="center" w:pos="4677"/>
        <w:tab w:val="right" w:pos="9355"/>
      </w:tabs>
    </w:pPr>
    <w:rPr>
      <w:lang w:val="zh-CN" w:eastAsia="zh-CN"/>
    </w:rPr>
  </w:style>
  <w:style w:type="paragraph" w:styleId="91">
    <w:name w:val="toc 9"/>
    <w:basedOn w:val="a5"/>
    <w:next w:val="a5"/>
    <w:autoRedefine/>
    <w:uiPriority w:val="39"/>
    <w:qFormat/>
    <w:pPr>
      <w:ind w:left="1920"/>
    </w:pPr>
    <w:rPr>
      <w:rFonts w:ascii="Calibri" w:hAnsi="Calibri" w:cs="Calibri"/>
      <w:sz w:val="18"/>
      <w:szCs w:val="18"/>
    </w:rPr>
  </w:style>
  <w:style w:type="paragraph" w:styleId="71">
    <w:name w:val="toc 7"/>
    <w:basedOn w:val="a5"/>
    <w:next w:val="a5"/>
    <w:autoRedefine/>
    <w:uiPriority w:val="39"/>
    <w:qFormat/>
    <w:pPr>
      <w:ind w:left="1440"/>
    </w:pPr>
    <w:rPr>
      <w:rFonts w:ascii="Calibri" w:hAnsi="Calibri" w:cs="Calibri"/>
      <w:sz w:val="18"/>
      <w:szCs w:val="18"/>
    </w:rPr>
  </w:style>
  <w:style w:type="paragraph" w:styleId="aff2">
    <w:name w:val="Body Text"/>
    <w:basedOn w:val="a5"/>
    <w:link w:val="aff3"/>
    <w:qFormat/>
    <w:pPr>
      <w:autoSpaceDE w:val="0"/>
      <w:autoSpaceDN w:val="0"/>
      <w:adjustRightInd w:val="0"/>
    </w:pPr>
    <w:rPr>
      <w:sz w:val="22"/>
      <w:szCs w:val="20"/>
    </w:rPr>
  </w:style>
  <w:style w:type="paragraph" w:styleId="40">
    <w:name w:val="List Number 4"/>
    <w:basedOn w:val="a5"/>
    <w:qFormat/>
    <w:pPr>
      <w:numPr>
        <w:numId w:val="3"/>
      </w:numPr>
      <w:tabs>
        <w:tab w:val="clear" w:pos="705"/>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20"/>
      <w:lang w:val="en-US" w:eastAsia="en-US"/>
    </w:rPr>
  </w:style>
  <w:style w:type="paragraph" w:styleId="12">
    <w:name w:val="toc 1"/>
    <w:basedOn w:val="a5"/>
    <w:next w:val="a5"/>
    <w:autoRedefine/>
    <w:uiPriority w:val="39"/>
    <w:qFormat/>
    <w:pPr>
      <w:spacing w:before="120" w:after="120"/>
    </w:pPr>
    <w:rPr>
      <w:rFonts w:ascii="Calibri" w:hAnsi="Calibri" w:cs="Calibri"/>
      <w:b/>
      <w:bCs/>
      <w:caps/>
      <w:sz w:val="20"/>
      <w:szCs w:val="20"/>
    </w:rPr>
  </w:style>
  <w:style w:type="paragraph" w:styleId="61">
    <w:name w:val="toc 6"/>
    <w:basedOn w:val="a5"/>
    <w:next w:val="a5"/>
    <w:autoRedefine/>
    <w:uiPriority w:val="39"/>
    <w:qFormat/>
    <w:pPr>
      <w:ind w:left="1200"/>
    </w:pPr>
    <w:rPr>
      <w:rFonts w:ascii="Calibri" w:hAnsi="Calibri" w:cs="Calibri"/>
      <w:sz w:val="18"/>
      <w:szCs w:val="18"/>
    </w:rPr>
  </w:style>
  <w:style w:type="paragraph" w:styleId="35">
    <w:name w:val="toc 3"/>
    <w:basedOn w:val="a5"/>
    <w:next w:val="a5"/>
    <w:autoRedefine/>
    <w:uiPriority w:val="39"/>
    <w:unhideWhenUsed/>
    <w:qFormat/>
    <w:pPr>
      <w:tabs>
        <w:tab w:val="left" w:pos="426"/>
        <w:tab w:val="right" w:leader="dot" w:pos="9214"/>
      </w:tabs>
      <w:ind w:left="284" w:right="397" w:hanging="284"/>
      <w:jc w:val="both"/>
    </w:pPr>
    <w:rPr>
      <w:rFonts w:cs="Calibri"/>
      <w:b/>
      <w:bCs/>
      <w:iCs/>
      <w:sz w:val="22"/>
      <w:szCs w:val="22"/>
    </w:rPr>
  </w:style>
  <w:style w:type="paragraph" w:styleId="27">
    <w:name w:val="toc 2"/>
    <w:basedOn w:val="a5"/>
    <w:next w:val="a5"/>
    <w:autoRedefine/>
    <w:uiPriority w:val="39"/>
    <w:qFormat/>
    <w:rsid w:val="00B74651"/>
    <w:pPr>
      <w:tabs>
        <w:tab w:val="right" w:leader="dot" w:pos="9498"/>
      </w:tabs>
      <w:ind w:left="142" w:right="822" w:hanging="284"/>
      <w:jc w:val="both"/>
    </w:pPr>
    <w:rPr>
      <w:rFonts w:cs="Calibri"/>
      <w:b/>
      <w:smallCaps/>
      <w:szCs w:val="22"/>
    </w:rPr>
  </w:style>
  <w:style w:type="paragraph" w:styleId="43">
    <w:name w:val="toc 4"/>
    <w:basedOn w:val="a5"/>
    <w:next w:val="a5"/>
    <w:autoRedefine/>
    <w:uiPriority w:val="39"/>
    <w:qFormat/>
    <w:pPr>
      <w:ind w:left="720"/>
    </w:pPr>
    <w:rPr>
      <w:rFonts w:ascii="Calibri" w:hAnsi="Calibri" w:cs="Calibri"/>
      <w:sz w:val="18"/>
      <w:szCs w:val="18"/>
    </w:rPr>
  </w:style>
  <w:style w:type="paragraph" w:styleId="53">
    <w:name w:val="toc 5"/>
    <w:basedOn w:val="a5"/>
    <w:next w:val="a5"/>
    <w:autoRedefine/>
    <w:uiPriority w:val="39"/>
    <w:qFormat/>
    <w:pPr>
      <w:ind w:left="960"/>
    </w:pPr>
    <w:rPr>
      <w:rFonts w:ascii="Calibri" w:hAnsi="Calibri" w:cs="Calibri"/>
      <w:sz w:val="18"/>
      <w:szCs w:val="18"/>
    </w:rPr>
  </w:style>
  <w:style w:type="paragraph" w:styleId="5">
    <w:name w:val="List Bullet 5"/>
    <w:basedOn w:val="a5"/>
    <w:qFormat/>
    <w:pPr>
      <w:numPr>
        <w:numId w:val="4"/>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20"/>
      <w:lang w:val="en-US" w:eastAsia="en-US"/>
    </w:rPr>
  </w:style>
  <w:style w:type="paragraph" w:styleId="4">
    <w:name w:val="List Bullet 4"/>
    <w:basedOn w:val="a5"/>
    <w:qFormat/>
    <w:pPr>
      <w:numPr>
        <w:numId w:val="5"/>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20"/>
      <w:lang w:val="en-US" w:eastAsia="en-US"/>
    </w:rPr>
  </w:style>
  <w:style w:type="paragraph" w:styleId="aff4">
    <w:name w:val="Body Text Indent"/>
    <w:basedOn w:val="a5"/>
    <w:link w:val="aff5"/>
    <w:qFormat/>
    <w:pPr>
      <w:tabs>
        <w:tab w:val="left" w:pos="1122"/>
      </w:tabs>
      <w:autoSpaceDE w:val="0"/>
      <w:autoSpaceDN w:val="0"/>
      <w:adjustRightInd w:val="0"/>
      <w:ind w:left="1122" w:hanging="547"/>
      <w:jc w:val="both"/>
    </w:pPr>
    <w:rPr>
      <w:lang w:val="zh-CN" w:eastAsia="zh-CN"/>
    </w:rPr>
  </w:style>
  <w:style w:type="paragraph" w:styleId="a0">
    <w:name w:val="List Bullet"/>
    <w:basedOn w:val="a5"/>
    <w:qFormat/>
    <w:pPr>
      <w:numPr>
        <w:numId w:val="6"/>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20"/>
      <w:lang w:val="en-US" w:eastAsia="en-US"/>
    </w:rPr>
  </w:style>
  <w:style w:type="paragraph" w:styleId="2">
    <w:name w:val="List Bullet 2"/>
    <w:basedOn w:val="a5"/>
    <w:qFormat/>
    <w:pPr>
      <w:numPr>
        <w:numId w:val="7"/>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20"/>
      <w:lang w:val="en-US" w:eastAsia="en-US"/>
    </w:rPr>
  </w:style>
  <w:style w:type="paragraph" w:styleId="3">
    <w:name w:val="List Bullet 3"/>
    <w:basedOn w:val="a5"/>
    <w:qFormat/>
    <w:pPr>
      <w:numPr>
        <w:numId w:val="8"/>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20"/>
      <w:lang w:val="en-US" w:eastAsia="en-US"/>
    </w:rPr>
  </w:style>
  <w:style w:type="paragraph" w:styleId="aff6">
    <w:name w:val="footer"/>
    <w:basedOn w:val="a5"/>
    <w:link w:val="aff7"/>
    <w:uiPriority w:val="99"/>
    <w:qFormat/>
    <w:pPr>
      <w:tabs>
        <w:tab w:val="center" w:pos="4677"/>
        <w:tab w:val="right" w:pos="9355"/>
      </w:tabs>
    </w:pPr>
    <w:rPr>
      <w:lang w:val="zh-CN" w:eastAsia="zh-CN"/>
    </w:rPr>
  </w:style>
  <w:style w:type="paragraph" w:styleId="a">
    <w:name w:val="List Number"/>
    <w:basedOn w:val="a5"/>
    <w:qFormat/>
    <w:pPr>
      <w:numPr>
        <w:numId w:val="9"/>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pPr>
    <w:rPr>
      <w:rFonts w:ascii="Arial" w:hAnsi="Arial"/>
      <w:sz w:val="18"/>
      <w:szCs w:val="20"/>
      <w:lang w:val="en-US" w:eastAsia="en-US"/>
    </w:rPr>
  </w:style>
  <w:style w:type="paragraph" w:styleId="21">
    <w:name w:val="List Number 2"/>
    <w:basedOn w:val="a5"/>
    <w:qFormat/>
    <w:pPr>
      <w:numPr>
        <w:numId w:val="10"/>
      </w:numPr>
      <w:tabs>
        <w:tab w:val="clear" w:pos="283"/>
        <w:tab w:val="left" w:pos="227"/>
        <w:tab w:val="left" w:pos="454"/>
        <w:tab w:val="left" w:pos="567"/>
        <w:tab w:val="left"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hAnsi="Arial"/>
      <w:sz w:val="18"/>
      <w:szCs w:val="20"/>
      <w:lang w:val="en-US" w:eastAsia="en-US"/>
    </w:rPr>
  </w:style>
  <w:style w:type="paragraph" w:styleId="aff8">
    <w:name w:val="Normal (Web)"/>
    <w:basedOn w:val="a5"/>
    <w:uiPriority w:val="99"/>
    <w:qFormat/>
    <w:pPr>
      <w:spacing w:after="167"/>
    </w:pPr>
    <w:rPr>
      <w:rFonts w:ascii="Arial" w:eastAsia="Arial Unicode MS" w:hAnsi="Arial" w:cs="Arial"/>
      <w:sz w:val="18"/>
      <w:szCs w:val="18"/>
    </w:rPr>
  </w:style>
  <w:style w:type="paragraph" w:styleId="36">
    <w:name w:val="Body Text 3"/>
    <w:basedOn w:val="a5"/>
    <w:link w:val="37"/>
    <w:qFormat/>
    <w:pPr>
      <w:spacing w:after="120"/>
    </w:pPr>
    <w:rPr>
      <w:sz w:val="16"/>
      <w:szCs w:val="16"/>
      <w:lang w:val="zh-CN" w:eastAsia="zh-CN"/>
    </w:rPr>
  </w:style>
  <w:style w:type="paragraph" w:styleId="20">
    <w:name w:val="Body Text Indent 2"/>
    <w:basedOn w:val="a5"/>
    <w:link w:val="28"/>
    <w:qFormat/>
    <w:pPr>
      <w:numPr>
        <w:numId w:val="11"/>
      </w:numPr>
      <w:tabs>
        <w:tab w:val="clear" w:pos="360"/>
      </w:tabs>
      <w:ind w:right="283" w:firstLine="851"/>
      <w:jc w:val="both"/>
    </w:pPr>
    <w:rPr>
      <w:i/>
      <w:iCs/>
      <w:lang w:val="zh-CN" w:eastAsia="zh-CN"/>
    </w:rPr>
  </w:style>
  <w:style w:type="paragraph" w:styleId="aff9">
    <w:name w:val="Subtitle"/>
    <w:basedOn w:val="a5"/>
    <w:next w:val="a5"/>
    <w:link w:val="affa"/>
    <w:uiPriority w:val="11"/>
    <w:qFormat/>
    <w:locked/>
    <w:pPr>
      <w:spacing w:after="560"/>
      <w:jc w:val="center"/>
    </w:pPr>
    <w:rPr>
      <w:rFonts w:ascii="Cambria" w:hAnsi="Cambria"/>
      <w:caps/>
      <w:spacing w:val="20"/>
      <w:sz w:val="18"/>
      <w:szCs w:val="18"/>
      <w:lang w:val="zh-CN" w:eastAsia="en-US"/>
    </w:rPr>
  </w:style>
  <w:style w:type="paragraph" w:styleId="29">
    <w:name w:val="List 2"/>
    <w:basedOn w:val="a5"/>
    <w:qFormat/>
    <w:pPr>
      <w:ind w:left="566" w:hanging="283"/>
    </w:pPr>
  </w:style>
  <w:style w:type="paragraph" w:styleId="HTML">
    <w:name w:val="HTML Preformatted"/>
    <w:basedOn w:val="a5"/>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zh-CN" w:eastAsia="zh-CN"/>
    </w:rPr>
  </w:style>
  <w:style w:type="table" w:styleId="affb">
    <w:name w:val="Table Grid"/>
    <w:basedOn w:val="a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qFormat/>
    <w:locked/>
    <w:rPr>
      <w:rFonts w:ascii="Cambria" w:hAnsi="Cambria" w:cs="Times New Roman"/>
      <w:b/>
      <w:bCs/>
      <w:kern w:val="32"/>
      <w:sz w:val="32"/>
      <w:szCs w:val="32"/>
    </w:rPr>
  </w:style>
  <w:style w:type="character" w:customStyle="1" w:styleId="23">
    <w:name w:val="Заголовок 2 Знак"/>
    <w:link w:val="22"/>
    <w:qFormat/>
    <w:locked/>
    <w:rPr>
      <w:rFonts w:ascii="Cambria" w:hAnsi="Cambria" w:cs="Times New Roman"/>
      <w:b/>
      <w:bCs/>
      <w:i/>
      <w:iCs/>
      <w:sz w:val="28"/>
      <w:szCs w:val="28"/>
    </w:rPr>
  </w:style>
  <w:style w:type="character" w:customStyle="1" w:styleId="32">
    <w:name w:val="Заголовок 3 Знак"/>
    <w:link w:val="31"/>
    <w:qFormat/>
    <w:locked/>
    <w:rPr>
      <w:rFonts w:ascii="Cambria" w:hAnsi="Cambria" w:cs="Times New Roman"/>
      <w:b/>
      <w:bCs/>
      <w:sz w:val="26"/>
      <w:szCs w:val="26"/>
    </w:rPr>
  </w:style>
  <w:style w:type="character" w:customStyle="1" w:styleId="42">
    <w:name w:val="Заголовок 4 Знак"/>
    <w:link w:val="41"/>
    <w:qFormat/>
    <w:locked/>
    <w:rPr>
      <w:rFonts w:ascii="Calibri" w:hAnsi="Calibri" w:cs="Times New Roman"/>
      <w:b/>
      <w:bCs/>
      <w:sz w:val="28"/>
      <w:szCs w:val="28"/>
    </w:rPr>
  </w:style>
  <w:style w:type="character" w:customStyle="1" w:styleId="52">
    <w:name w:val="Заголовок 5 Знак"/>
    <w:link w:val="51"/>
    <w:qFormat/>
    <w:locked/>
    <w:rPr>
      <w:rFonts w:ascii="Calibri" w:hAnsi="Calibri" w:cs="Times New Roman"/>
      <w:b/>
      <w:bCs/>
      <w:i/>
      <w:iCs/>
      <w:sz w:val="26"/>
      <w:szCs w:val="26"/>
    </w:rPr>
  </w:style>
  <w:style w:type="character" w:customStyle="1" w:styleId="60">
    <w:name w:val="Заголовок 6 Знак"/>
    <w:link w:val="6"/>
    <w:qFormat/>
    <w:locked/>
    <w:rPr>
      <w:rFonts w:ascii="Calibri" w:hAnsi="Calibri" w:cs="Times New Roman"/>
      <w:b/>
      <w:bCs/>
      <w:sz w:val="22"/>
      <w:szCs w:val="22"/>
    </w:rPr>
  </w:style>
  <w:style w:type="paragraph" w:customStyle="1" w:styleId="ConsPlusNormal">
    <w:name w:val="ConsPlusNormal"/>
    <w:qFormat/>
    <w:pPr>
      <w:autoSpaceDE w:val="0"/>
      <w:autoSpaceDN w:val="0"/>
      <w:adjustRightInd w:val="0"/>
      <w:ind w:firstLine="720"/>
    </w:pPr>
    <w:rPr>
      <w:rFonts w:ascii="Arial" w:eastAsiaTheme="minorEastAsia" w:hAnsi="Arial" w:cs="Arial"/>
    </w:rPr>
  </w:style>
  <w:style w:type="paragraph" w:customStyle="1" w:styleId="ConsTitle">
    <w:name w:val="ConsTitle"/>
    <w:qFormat/>
    <w:rPr>
      <w:rFonts w:ascii="Arial" w:eastAsiaTheme="minorEastAsia" w:hAnsi="Arial"/>
      <w:b/>
      <w:sz w:val="16"/>
    </w:rPr>
  </w:style>
  <w:style w:type="character" w:customStyle="1" w:styleId="28">
    <w:name w:val="Основной текст с отступом 2 Знак"/>
    <w:link w:val="20"/>
    <w:qFormat/>
    <w:locked/>
    <w:rPr>
      <w:i/>
      <w:iCs/>
      <w:sz w:val="24"/>
      <w:szCs w:val="24"/>
      <w:lang w:val="zh-CN" w:eastAsia="zh-CN"/>
    </w:rPr>
  </w:style>
  <w:style w:type="paragraph" w:customStyle="1" w:styleId="ConsNormal">
    <w:name w:val="ConsNormal"/>
    <w:link w:val="ConsNormalChar"/>
    <w:qFormat/>
    <w:pPr>
      <w:numPr>
        <w:numId w:val="12"/>
      </w:numPr>
      <w:tabs>
        <w:tab w:val="left" w:pos="926"/>
      </w:tabs>
      <w:overflowPunct w:val="0"/>
      <w:autoSpaceDE w:val="0"/>
      <w:autoSpaceDN w:val="0"/>
      <w:adjustRightInd w:val="0"/>
      <w:ind w:left="926"/>
      <w:textAlignment w:val="baseline"/>
    </w:pPr>
    <w:rPr>
      <w:rFonts w:ascii="Consultant" w:eastAsiaTheme="minorEastAsia" w:hAnsi="Consultant"/>
    </w:rPr>
  </w:style>
  <w:style w:type="character" w:customStyle="1" w:styleId="ConsNormalChar">
    <w:name w:val="ConsNormal Char"/>
    <w:link w:val="ConsNormal"/>
    <w:qFormat/>
    <w:locked/>
    <w:rPr>
      <w:rFonts w:ascii="Consultant" w:hAnsi="Consultant"/>
    </w:rPr>
  </w:style>
  <w:style w:type="paragraph" w:customStyle="1" w:styleId="Report">
    <w:name w:val="Report"/>
    <w:qFormat/>
    <w:pPr>
      <w:numPr>
        <w:numId w:val="13"/>
      </w:numPr>
      <w:tabs>
        <w:tab w:val="left" w:pos="0"/>
        <w:tab w:val="left" w:pos="737"/>
      </w:tabs>
      <w:spacing w:after="240"/>
      <w:ind w:left="737" w:hanging="737"/>
      <w:jc w:val="both"/>
    </w:pPr>
    <w:rPr>
      <w:rFonts w:eastAsiaTheme="minorEastAsia"/>
      <w:lang w:eastAsia="en-US"/>
    </w:rPr>
  </w:style>
  <w:style w:type="paragraph" w:customStyle="1" w:styleId="ConsNonformat">
    <w:name w:val="ConsNonformat"/>
    <w:qFormat/>
    <w:pPr>
      <w:numPr>
        <w:numId w:val="14"/>
      </w:numPr>
      <w:autoSpaceDE w:val="0"/>
      <w:autoSpaceDN w:val="0"/>
      <w:adjustRightInd w:val="0"/>
      <w:ind w:right="19772"/>
    </w:pPr>
    <w:rPr>
      <w:rFonts w:ascii="Courier New" w:eastAsiaTheme="minorEastAsia" w:hAnsi="Courier New" w:cs="Courier New"/>
    </w:rPr>
  </w:style>
  <w:style w:type="paragraph" w:customStyle="1" w:styleId="AA1stlevelbullet">
    <w:name w:val="AA 1st level bullet"/>
    <w:basedOn w:val="a5"/>
    <w:qFormat/>
    <w:pPr>
      <w:numPr>
        <w:numId w:val="15"/>
      </w:numPr>
      <w:tabs>
        <w:tab w:val="clear" w:pos="360"/>
        <w:tab w:val="left" w:pos="227"/>
      </w:tabs>
      <w:spacing w:line="240" w:lineRule="atLeast"/>
      <w:ind w:left="227" w:hanging="227"/>
    </w:pPr>
    <w:rPr>
      <w:rFonts w:ascii="Arial" w:hAnsi="Arial"/>
      <w:sz w:val="18"/>
      <w:szCs w:val="20"/>
      <w:lang w:val="en-US" w:eastAsia="en-US"/>
    </w:rPr>
  </w:style>
  <w:style w:type="paragraph" w:customStyle="1" w:styleId="AA2ndlevelbullet">
    <w:name w:val="AA 2nd level bullet"/>
    <w:basedOn w:val="AA1stlevelbullet"/>
    <w:qFormat/>
    <w:pPr>
      <w:numPr>
        <w:numId w:val="0"/>
      </w:numPr>
      <w:tabs>
        <w:tab w:val="clear" w:pos="227"/>
        <w:tab w:val="clear" w:pos="360"/>
        <w:tab w:val="left" w:pos="454"/>
        <w:tab w:val="left" w:pos="680"/>
        <w:tab w:val="left" w:pos="907"/>
      </w:tabs>
      <w:ind w:left="454" w:hanging="227"/>
    </w:pPr>
  </w:style>
  <w:style w:type="paragraph" w:customStyle="1" w:styleId="AANumbering">
    <w:name w:val="AA Numbering"/>
    <w:basedOn w:val="a5"/>
    <w:qFormat/>
    <w:pPr>
      <w:tabs>
        <w:tab w:val="left" w:pos="284"/>
      </w:tabs>
      <w:spacing w:line="240" w:lineRule="atLeast"/>
    </w:pPr>
    <w:rPr>
      <w:rFonts w:ascii="Arial" w:hAnsi="Arial"/>
      <w:sz w:val="18"/>
      <w:szCs w:val="20"/>
      <w:lang w:val="en-US" w:eastAsia="en-US"/>
    </w:rPr>
  </w:style>
  <w:style w:type="paragraph" w:customStyle="1" w:styleId="ParagraphNumbering">
    <w:name w:val="Paragraph Numbering"/>
    <w:basedOn w:val="aff0"/>
    <w:qFormat/>
    <w:pPr>
      <w:tabs>
        <w:tab w:val="clear" w:pos="4677"/>
        <w:tab w:val="clear" w:pos="9355"/>
        <w:tab w:val="left" w:pos="284"/>
      </w:tabs>
      <w:spacing w:line="240" w:lineRule="atLeast"/>
    </w:pPr>
    <w:rPr>
      <w:rFonts w:ascii="Arial" w:hAnsi="Arial"/>
      <w:sz w:val="18"/>
      <w:szCs w:val="20"/>
      <w:lang w:val="en-US" w:eastAsia="en-US"/>
    </w:rPr>
  </w:style>
  <w:style w:type="character" w:customStyle="1" w:styleId="aff1">
    <w:name w:val="Верхний колонтитул Знак"/>
    <w:link w:val="aff0"/>
    <w:qFormat/>
    <w:locked/>
    <w:rPr>
      <w:rFonts w:cs="Times New Roman"/>
      <w:sz w:val="24"/>
      <w:szCs w:val="24"/>
    </w:rPr>
  </w:style>
  <w:style w:type="paragraph" w:customStyle="1" w:styleId="ABC-BulletsinNotes">
    <w:name w:val="ABC - Bullets in Notes"/>
    <w:basedOn w:val="a5"/>
    <w:qFormat/>
    <w:pPr>
      <w:tabs>
        <w:tab w:val="left" w:pos="360"/>
      </w:tabs>
      <w:spacing w:after="240"/>
      <w:ind w:left="284" w:hanging="284"/>
    </w:pPr>
    <w:rPr>
      <w:sz w:val="20"/>
      <w:szCs w:val="20"/>
      <w:lang w:val="en-US" w:eastAsia="en-US"/>
    </w:rPr>
  </w:style>
  <w:style w:type="paragraph" w:customStyle="1" w:styleId="010Subheading1">
    <w:name w:val="010 Subheading 1"/>
    <w:basedOn w:val="000Normal"/>
    <w:qFormat/>
    <w:pPr>
      <w:tabs>
        <w:tab w:val="left" w:pos="360"/>
      </w:tabs>
      <w:spacing w:before="0"/>
    </w:pPr>
  </w:style>
  <w:style w:type="paragraph" w:customStyle="1" w:styleId="000Normal">
    <w:name w:val="000 Normal"/>
    <w:basedOn w:val="a5"/>
    <w:link w:val="000NormalChar"/>
    <w:qFormat/>
    <w:pPr>
      <w:overflowPunct w:val="0"/>
      <w:autoSpaceDE w:val="0"/>
      <w:autoSpaceDN w:val="0"/>
      <w:adjustRightInd w:val="0"/>
      <w:spacing w:before="60" w:after="40" w:line="220" w:lineRule="exact"/>
      <w:jc w:val="both"/>
      <w:textAlignment w:val="baseline"/>
    </w:pPr>
    <w:rPr>
      <w:rFonts w:ascii="Garamond" w:hAnsi="Garamond"/>
      <w:sz w:val="20"/>
      <w:szCs w:val="20"/>
      <w:lang w:val="en-GB" w:eastAsia="en-US"/>
    </w:rPr>
  </w:style>
  <w:style w:type="character" w:customStyle="1" w:styleId="000NormalChar">
    <w:name w:val="000 Normal Char"/>
    <w:link w:val="000Normal"/>
    <w:qFormat/>
    <w:locked/>
    <w:rPr>
      <w:rFonts w:ascii="Garamond" w:hAnsi="Garamond"/>
      <w:lang w:val="en-GB" w:eastAsia="en-US"/>
    </w:rPr>
  </w:style>
  <w:style w:type="character" w:customStyle="1" w:styleId="25">
    <w:name w:val="Основной текст 2 Знак"/>
    <w:link w:val="24"/>
    <w:qFormat/>
    <w:locked/>
    <w:rPr>
      <w:rFonts w:cs="Times New Roman"/>
      <w:sz w:val="24"/>
      <w:szCs w:val="24"/>
    </w:rPr>
  </w:style>
  <w:style w:type="character" w:customStyle="1" w:styleId="aff5">
    <w:name w:val="Основной текст с отступом Знак"/>
    <w:link w:val="aff4"/>
    <w:qFormat/>
    <w:locked/>
    <w:rPr>
      <w:rFonts w:cs="Times New Roman"/>
      <w:sz w:val="24"/>
      <w:szCs w:val="24"/>
    </w:rPr>
  </w:style>
  <w:style w:type="character" w:customStyle="1" w:styleId="aff3">
    <w:name w:val="Основной текст Знак"/>
    <w:link w:val="aff2"/>
    <w:qFormat/>
    <w:locked/>
    <w:rPr>
      <w:rFonts w:cs="Times New Roman"/>
      <w:sz w:val="22"/>
      <w:lang w:val="ru-RU" w:eastAsia="ru-RU"/>
    </w:rPr>
  </w:style>
  <w:style w:type="paragraph" w:customStyle="1" w:styleId="NormalPrefix">
    <w:name w:val="Normal Prefix"/>
    <w:link w:val="NormalPrefix0"/>
    <w:qFormat/>
    <w:pPr>
      <w:widowControl w:val="0"/>
      <w:autoSpaceDE w:val="0"/>
      <w:autoSpaceDN w:val="0"/>
      <w:spacing w:before="200" w:after="40"/>
    </w:pPr>
    <w:rPr>
      <w:rFonts w:eastAsiaTheme="minorEastAsia"/>
      <w:sz w:val="22"/>
    </w:rPr>
  </w:style>
  <w:style w:type="character" w:customStyle="1" w:styleId="NormalPrefix0">
    <w:name w:val="Normal Prefix Знак"/>
    <w:link w:val="NormalPrefix"/>
    <w:qFormat/>
    <w:locked/>
    <w:rPr>
      <w:sz w:val="22"/>
      <w:lang w:val="ru-RU" w:eastAsia="ru-RU" w:bidi="ar-SA"/>
    </w:rPr>
  </w:style>
  <w:style w:type="paragraph" w:customStyle="1" w:styleId="BodyTextIndent21">
    <w:name w:val="Body Text Indent 21"/>
    <w:basedOn w:val="a5"/>
    <w:qFormat/>
    <w:pPr>
      <w:suppressAutoHyphens/>
      <w:ind w:firstLine="720"/>
      <w:jc w:val="both"/>
    </w:pPr>
    <w:rPr>
      <w:szCs w:val="20"/>
    </w:rPr>
  </w:style>
  <w:style w:type="character" w:customStyle="1" w:styleId="aff7">
    <w:name w:val="Нижний колонтитул Знак"/>
    <w:link w:val="aff6"/>
    <w:uiPriority w:val="99"/>
    <w:qFormat/>
    <w:locked/>
    <w:rPr>
      <w:rFonts w:cs="Times New Roman"/>
      <w:sz w:val="24"/>
      <w:szCs w:val="24"/>
    </w:rPr>
  </w:style>
  <w:style w:type="character" w:customStyle="1" w:styleId="37">
    <w:name w:val="Основной текст 3 Знак"/>
    <w:link w:val="36"/>
    <w:qFormat/>
    <w:locked/>
    <w:rPr>
      <w:rFonts w:cs="Times New Roman"/>
      <w:sz w:val="16"/>
      <w:szCs w:val="16"/>
    </w:rPr>
  </w:style>
  <w:style w:type="paragraph" w:customStyle="1" w:styleId="BodyText22">
    <w:name w:val="Body Text 22"/>
    <w:basedOn w:val="a5"/>
    <w:qFormat/>
    <w:pPr>
      <w:ind w:firstLine="709"/>
      <w:jc w:val="both"/>
    </w:pPr>
    <w:rPr>
      <w:szCs w:val="20"/>
    </w:rPr>
  </w:style>
  <w:style w:type="paragraph" w:customStyle="1" w:styleId="xl35">
    <w:name w:val="xl35"/>
    <w:basedOn w:val="a5"/>
    <w:qFormat/>
    <w:pPr>
      <w:spacing w:before="100" w:beforeAutospacing="1" w:after="100" w:afterAutospacing="1"/>
      <w:jc w:val="center"/>
      <w:textAlignment w:val="center"/>
    </w:pPr>
    <w:rPr>
      <w:rFonts w:eastAsia="Arial Unicode MS"/>
      <w:sz w:val="12"/>
      <w:szCs w:val="12"/>
    </w:rPr>
  </w:style>
  <w:style w:type="paragraph" w:customStyle="1" w:styleId="affc">
    <w:name w:val="Пункты методик"/>
    <w:basedOn w:val="a5"/>
    <w:qFormat/>
    <w:pPr>
      <w:tabs>
        <w:tab w:val="left" w:pos="1189"/>
      </w:tabs>
      <w:spacing w:after="60"/>
      <w:ind w:left="1189" w:hanging="480"/>
      <w:jc w:val="both"/>
    </w:pPr>
    <w:rPr>
      <w:szCs w:val="20"/>
    </w:rPr>
  </w:style>
  <w:style w:type="character" w:customStyle="1" w:styleId="34">
    <w:name w:val="Основной текст с отступом 3 Знак"/>
    <w:link w:val="33"/>
    <w:qFormat/>
    <w:locked/>
    <w:rPr>
      <w:rFonts w:cs="Times New Roman"/>
      <w:sz w:val="16"/>
      <w:szCs w:val="16"/>
    </w:rPr>
  </w:style>
  <w:style w:type="character" w:customStyle="1" w:styleId="af2">
    <w:name w:val="Текст выноски Знак"/>
    <w:link w:val="af1"/>
    <w:uiPriority w:val="99"/>
    <w:qFormat/>
    <w:locked/>
    <w:rPr>
      <w:lang w:val="zh-CN" w:eastAsia="zh-CN"/>
    </w:rPr>
  </w:style>
  <w:style w:type="paragraph" w:customStyle="1" w:styleId="13">
    <w:name w:val="Название1"/>
    <w:basedOn w:val="a5"/>
    <w:link w:val="affd"/>
    <w:qFormat/>
    <w:pPr>
      <w:spacing w:before="240" w:after="60"/>
      <w:ind w:firstLine="720"/>
      <w:jc w:val="center"/>
    </w:pPr>
    <w:rPr>
      <w:rFonts w:ascii="Cambria" w:hAnsi="Cambria"/>
      <w:b/>
      <w:bCs/>
      <w:kern w:val="28"/>
      <w:sz w:val="32"/>
      <w:szCs w:val="32"/>
      <w:lang w:val="zh-CN" w:eastAsia="zh-CN"/>
    </w:rPr>
  </w:style>
  <w:style w:type="character" w:customStyle="1" w:styleId="affd">
    <w:name w:val="Название Знак"/>
    <w:link w:val="13"/>
    <w:qFormat/>
    <w:locked/>
    <w:rPr>
      <w:rFonts w:ascii="Cambria" w:hAnsi="Cambria" w:cs="Times New Roman"/>
      <w:b/>
      <w:bCs/>
      <w:kern w:val="28"/>
      <w:sz w:val="32"/>
      <w:szCs w:val="32"/>
    </w:rPr>
  </w:style>
  <w:style w:type="paragraph" w:customStyle="1" w:styleId="a4">
    <w:name w:val="Подподпункт договора"/>
    <w:basedOn w:val="a3"/>
    <w:link w:val="affe"/>
    <w:qFormat/>
    <w:pPr>
      <w:numPr>
        <w:ilvl w:val="3"/>
      </w:numPr>
      <w:tabs>
        <w:tab w:val="clear" w:pos="705"/>
        <w:tab w:val="left" w:pos="720"/>
      </w:tabs>
    </w:pPr>
  </w:style>
  <w:style w:type="paragraph" w:customStyle="1" w:styleId="a3">
    <w:name w:val="Подпункт договора"/>
    <w:basedOn w:val="afff"/>
    <w:link w:val="afff0"/>
    <w:qFormat/>
    <w:pPr>
      <w:widowControl/>
      <w:numPr>
        <w:ilvl w:val="2"/>
        <w:numId w:val="16"/>
      </w:numPr>
      <w:tabs>
        <w:tab w:val="clear" w:pos="720"/>
        <w:tab w:val="left" w:pos="705"/>
      </w:tabs>
    </w:pPr>
  </w:style>
  <w:style w:type="paragraph" w:customStyle="1" w:styleId="afff">
    <w:name w:val="Пункт договора"/>
    <w:basedOn w:val="a5"/>
    <w:link w:val="afff1"/>
    <w:qFormat/>
    <w:pPr>
      <w:widowControl w:val="0"/>
      <w:tabs>
        <w:tab w:val="left" w:pos="705"/>
      </w:tabs>
      <w:jc w:val="both"/>
    </w:pPr>
    <w:rPr>
      <w:rFonts w:ascii="Arial" w:hAnsi="Arial"/>
      <w:sz w:val="20"/>
      <w:szCs w:val="20"/>
      <w:lang w:val="zh-CN" w:eastAsia="zh-CN"/>
    </w:rPr>
  </w:style>
  <w:style w:type="character" w:customStyle="1" w:styleId="afff1">
    <w:name w:val="Пункт договора Знак"/>
    <w:link w:val="afff"/>
    <w:qFormat/>
    <w:locked/>
    <w:rPr>
      <w:rFonts w:ascii="Arial" w:hAnsi="Arial"/>
    </w:rPr>
  </w:style>
  <w:style w:type="character" w:customStyle="1" w:styleId="afff0">
    <w:name w:val="Подпункт договора Знак"/>
    <w:link w:val="a3"/>
    <w:qFormat/>
    <w:locked/>
    <w:rPr>
      <w:rFonts w:ascii="Arial" w:hAnsi="Arial"/>
      <w:lang w:val="zh-CN" w:eastAsia="zh-CN"/>
    </w:rPr>
  </w:style>
  <w:style w:type="paragraph" w:customStyle="1" w:styleId="afff2">
    <w:name w:val="Раздел договора"/>
    <w:basedOn w:val="a5"/>
    <w:next w:val="afff"/>
    <w:qFormat/>
    <w:pPr>
      <w:keepNext/>
      <w:keepLines/>
      <w:widowControl w:val="0"/>
      <w:tabs>
        <w:tab w:val="left" w:pos="643"/>
      </w:tabs>
      <w:spacing w:before="240" w:after="200"/>
      <w:ind w:left="953" w:hanging="227"/>
    </w:pPr>
    <w:rPr>
      <w:rFonts w:ascii="Arial" w:hAnsi="Arial"/>
      <w:b/>
      <w:caps/>
      <w:sz w:val="20"/>
      <w:szCs w:val="20"/>
    </w:rPr>
  </w:style>
  <w:style w:type="paragraph" w:customStyle="1" w:styleId="110">
    <w:name w:val="Обычный + 11 пт"/>
    <w:basedOn w:val="a5"/>
    <w:qFormat/>
    <w:pPr>
      <w:ind w:firstLine="612"/>
      <w:jc w:val="both"/>
    </w:pPr>
    <w:rPr>
      <w:sz w:val="22"/>
      <w:szCs w:val="22"/>
    </w:rPr>
  </w:style>
  <w:style w:type="paragraph" w:customStyle="1" w:styleId="AAheadingwocontents">
    <w:name w:val="AA heading wo contents"/>
    <w:basedOn w:val="a5"/>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sz w:val="22"/>
      <w:szCs w:val="20"/>
      <w:lang w:val="en-US" w:eastAsia="en-US"/>
    </w:rPr>
  </w:style>
  <w:style w:type="paragraph" w:customStyle="1" w:styleId="afff3">
    <w:name w:val="Обычный + по ширине"/>
    <w:basedOn w:val="a5"/>
    <w:qFormat/>
    <w:pPr>
      <w:tabs>
        <w:tab w:val="left" w:pos="964"/>
      </w:tabs>
      <w:spacing w:before="120"/>
      <w:ind w:left="964" w:hanging="397"/>
      <w:jc w:val="both"/>
    </w:pPr>
  </w:style>
  <w:style w:type="paragraph" w:customStyle="1" w:styleId="afff4">
    <w:name w:val="Оглавление КП"/>
    <w:basedOn w:val="12"/>
    <w:next w:val="a5"/>
    <w:qFormat/>
    <w:pPr>
      <w:keepNext/>
      <w:tabs>
        <w:tab w:val="left" w:pos="374"/>
      </w:tabs>
      <w:ind w:left="1406" w:hanging="1406"/>
    </w:pPr>
    <w:rPr>
      <w:rFonts w:ascii="Arial" w:hAnsi="Arial"/>
      <w:b w:val="0"/>
      <w:caps w:val="0"/>
    </w:rPr>
  </w:style>
  <w:style w:type="paragraph" w:customStyle="1" w:styleId="xl29">
    <w:name w:val="xl29"/>
    <w:basedOn w:val="a5"/>
    <w:qFormat/>
    <w:pPr>
      <w:spacing w:before="100" w:beforeAutospacing="1" w:after="100" w:afterAutospacing="1"/>
      <w:textAlignment w:val="top"/>
    </w:pPr>
    <w:rPr>
      <w:rFonts w:eastAsia="Arial Unicode MS"/>
      <w:b/>
      <w:bCs/>
      <w:sz w:val="18"/>
      <w:szCs w:val="18"/>
    </w:rPr>
  </w:style>
  <w:style w:type="paragraph" w:customStyle="1" w:styleId="CharChar">
    <w:name w:val="Char Char"/>
    <w:basedOn w:val="a5"/>
    <w:qFormat/>
    <w:pPr>
      <w:spacing w:after="160" w:line="240" w:lineRule="exact"/>
    </w:pPr>
    <w:rPr>
      <w:rFonts w:ascii="Verdana" w:hAnsi="Verdana"/>
      <w:sz w:val="20"/>
      <w:szCs w:val="20"/>
      <w:lang w:val="en-US" w:eastAsia="en-US"/>
    </w:rPr>
  </w:style>
  <w:style w:type="paragraph" w:customStyle="1" w:styleId="BodyTextbt">
    <w:name w:val="Body Text.bt"/>
    <w:basedOn w:val="a5"/>
    <w:qFormat/>
    <w:pPr>
      <w:autoSpaceDE w:val="0"/>
      <w:autoSpaceDN w:val="0"/>
      <w:jc w:val="both"/>
    </w:pPr>
    <w:rPr>
      <w:b/>
      <w:bCs/>
      <w:i/>
      <w:iCs/>
      <w:sz w:val="22"/>
      <w:szCs w:val="22"/>
    </w:rPr>
  </w:style>
  <w:style w:type="paragraph" w:customStyle="1" w:styleId="14">
    <w:name w:val="Знак Знак1 Знак Знак"/>
    <w:basedOn w:val="a5"/>
    <w:qFormat/>
    <w:pPr>
      <w:widowControl w:val="0"/>
      <w:adjustRightInd w:val="0"/>
      <w:spacing w:after="160" w:line="240" w:lineRule="exact"/>
      <w:jc w:val="right"/>
    </w:pPr>
    <w:rPr>
      <w:sz w:val="20"/>
      <w:szCs w:val="20"/>
      <w:lang w:val="en-GB" w:eastAsia="en-US"/>
    </w:rPr>
  </w:style>
  <w:style w:type="paragraph" w:customStyle="1" w:styleId="afff5">
    <w:name w:val="Годовой отчет"/>
    <w:basedOn w:val="a5"/>
    <w:qFormat/>
    <w:pPr>
      <w:ind w:firstLine="709"/>
      <w:jc w:val="both"/>
    </w:pPr>
    <w:rPr>
      <w:rFonts w:ascii="Arial" w:hAnsi="Arial"/>
      <w:sz w:val="20"/>
    </w:rPr>
  </w:style>
  <w:style w:type="character" w:customStyle="1" w:styleId="aff">
    <w:name w:val="Текст сноски Знак"/>
    <w:link w:val="afe"/>
    <w:uiPriority w:val="99"/>
    <w:qFormat/>
    <w:locked/>
  </w:style>
  <w:style w:type="paragraph" w:customStyle="1" w:styleId="xl61">
    <w:name w:val="xl61"/>
    <w:basedOn w:val="a5"/>
    <w:qFormat/>
    <w:pPr>
      <w:spacing w:before="100" w:beforeAutospacing="1" w:after="100" w:afterAutospacing="1"/>
      <w:jc w:val="center"/>
    </w:pPr>
    <w:rPr>
      <w:rFonts w:ascii="Tahoma" w:eastAsia="Arial Unicode MS" w:hAnsi="Tahoma" w:cs="Tahoma"/>
      <w:b/>
      <w:bCs/>
      <w:sz w:val="22"/>
      <w:szCs w:val="22"/>
    </w:rPr>
  </w:style>
  <w:style w:type="paragraph" w:customStyle="1" w:styleId="BodyText21">
    <w:name w:val="Body Text 21"/>
    <w:basedOn w:val="a5"/>
    <w:qFormat/>
    <w:pPr>
      <w:widowControl w:val="0"/>
      <w:autoSpaceDE w:val="0"/>
      <w:autoSpaceDN w:val="0"/>
      <w:spacing w:before="20" w:after="40"/>
    </w:pPr>
    <w:rPr>
      <w:b/>
      <w:bCs/>
      <w:i/>
      <w:iCs/>
      <w:sz w:val="22"/>
      <w:szCs w:val="22"/>
    </w:rPr>
  </w:style>
  <w:style w:type="paragraph" w:customStyle="1" w:styleId="xl27">
    <w:name w:val="xl27"/>
    <w:basedOn w:val="a5"/>
    <w:qFormat/>
    <w:pPr>
      <w:spacing w:before="100" w:beforeAutospacing="1" w:after="100" w:afterAutospacing="1"/>
      <w:jc w:val="right"/>
      <w:textAlignment w:val="center"/>
    </w:pPr>
    <w:rPr>
      <w:rFonts w:ascii="Arial" w:eastAsia="Arial Unicode MS" w:hAnsi="Arial" w:cs="Arial"/>
    </w:rPr>
  </w:style>
  <w:style w:type="paragraph" w:customStyle="1" w:styleId="prilozhenieglava">
    <w:name w:val="prilozhenie glava"/>
    <w:basedOn w:val="a5"/>
    <w:qFormat/>
    <w:pPr>
      <w:spacing w:before="240" w:after="240"/>
      <w:jc w:val="center"/>
    </w:pPr>
    <w:rPr>
      <w:b/>
      <w:bCs/>
      <w:caps/>
      <w:lang w:eastAsia="en-US"/>
    </w:rPr>
  </w:style>
  <w:style w:type="paragraph" w:customStyle="1" w:styleId="MainText">
    <w:name w:val="MainText"/>
    <w:qFormat/>
    <w:pPr>
      <w:autoSpaceDE w:val="0"/>
      <w:autoSpaceDN w:val="0"/>
      <w:ind w:firstLine="567"/>
      <w:jc w:val="both"/>
    </w:pPr>
    <w:rPr>
      <w:rFonts w:ascii="PragmaticaC" w:eastAsiaTheme="minorEastAsia" w:hAnsi="PragmaticaC"/>
      <w:color w:val="000000"/>
      <w:sz w:val="19"/>
      <w:szCs w:val="19"/>
      <w:lang w:val="en-US"/>
    </w:rPr>
  </w:style>
  <w:style w:type="paragraph" w:customStyle="1" w:styleId="ConsCell">
    <w:name w:val="ConsCell"/>
    <w:qFormat/>
    <w:pPr>
      <w:widowControl w:val="0"/>
      <w:autoSpaceDE w:val="0"/>
      <w:autoSpaceDN w:val="0"/>
    </w:pPr>
    <w:rPr>
      <w:rFonts w:ascii="Arial" w:eastAsiaTheme="minorEastAsia" w:hAnsi="Arial" w:cs="Arial"/>
      <w:sz w:val="16"/>
      <w:szCs w:val="16"/>
    </w:rPr>
  </w:style>
  <w:style w:type="paragraph" w:customStyle="1" w:styleId="230Tablecenter">
    <w:name w:val="230 Table center"/>
    <w:basedOn w:val="a5"/>
    <w:qFormat/>
    <w:pPr>
      <w:overflowPunct w:val="0"/>
      <w:autoSpaceDE w:val="0"/>
      <w:autoSpaceDN w:val="0"/>
      <w:adjustRightInd w:val="0"/>
      <w:spacing w:before="20" w:line="200" w:lineRule="exact"/>
      <w:jc w:val="center"/>
      <w:textAlignment w:val="baseline"/>
    </w:pPr>
    <w:rPr>
      <w:rFonts w:ascii="Garamond" w:hAnsi="Garamond"/>
      <w:sz w:val="20"/>
      <w:szCs w:val="20"/>
      <w:lang w:val="en-GB" w:eastAsia="en-US"/>
    </w:rPr>
  </w:style>
  <w:style w:type="paragraph" w:customStyle="1" w:styleId="BodyTextIndent31">
    <w:name w:val="Body Text Indent 31"/>
    <w:basedOn w:val="a5"/>
    <w:qFormat/>
    <w:pPr>
      <w:suppressAutoHyphens/>
      <w:spacing w:before="120"/>
      <w:ind w:firstLine="709"/>
      <w:jc w:val="both"/>
    </w:pPr>
    <w:rPr>
      <w:szCs w:val="20"/>
    </w:rPr>
  </w:style>
  <w:style w:type="paragraph" w:customStyle="1" w:styleId="afff6">
    <w:name w:val="Разновидность документа"/>
    <w:basedOn w:val="afff7"/>
    <w:qFormat/>
    <w:pPr>
      <w:spacing w:after="40"/>
      <w:jc w:val="center"/>
    </w:pPr>
    <w:rPr>
      <w:b/>
      <w:bCs/>
      <w:sz w:val="24"/>
      <w:szCs w:val="24"/>
    </w:rPr>
  </w:style>
  <w:style w:type="paragraph" w:customStyle="1" w:styleId="afff7">
    <w:name w:val="Текстовый"/>
    <w:link w:val="afff8"/>
    <w:qFormat/>
    <w:pPr>
      <w:widowControl w:val="0"/>
      <w:jc w:val="both"/>
    </w:pPr>
    <w:rPr>
      <w:rFonts w:ascii="Arial" w:eastAsiaTheme="minorEastAsia" w:hAnsi="Arial" w:cs="Arial"/>
    </w:rPr>
  </w:style>
  <w:style w:type="character" w:customStyle="1" w:styleId="afff8">
    <w:name w:val="Текстовый Знак"/>
    <w:link w:val="afff7"/>
    <w:qFormat/>
    <w:rPr>
      <w:rFonts w:ascii="Arial" w:hAnsi="Arial" w:cs="Arial"/>
      <w:lang w:val="ru-RU" w:eastAsia="ru-RU" w:bidi="ar-SA"/>
    </w:rPr>
  </w:style>
  <w:style w:type="paragraph" w:customStyle="1" w:styleId="ConsPlusCell">
    <w:name w:val="ConsPlusCell"/>
    <w:uiPriority w:val="99"/>
    <w:qFormat/>
    <w:pPr>
      <w:autoSpaceDE w:val="0"/>
      <w:autoSpaceDN w:val="0"/>
      <w:adjustRightInd w:val="0"/>
    </w:pPr>
    <w:rPr>
      <w:rFonts w:ascii="Arial" w:eastAsiaTheme="minorEastAsia" w:hAnsi="Arial" w:cs="Arial"/>
    </w:rPr>
  </w:style>
  <w:style w:type="paragraph" w:customStyle="1" w:styleId="2a">
    <w:name w:val="Стиль2"/>
    <w:basedOn w:val="a5"/>
    <w:qFormat/>
    <w:pPr>
      <w:autoSpaceDE w:val="0"/>
      <w:autoSpaceDN w:val="0"/>
      <w:adjustRightInd w:val="0"/>
      <w:jc w:val="both"/>
    </w:pPr>
  </w:style>
  <w:style w:type="character" w:customStyle="1" w:styleId="af4">
    <w:name w:val="Текст Знак"/>
    <w:link w:val="af3"/>
    <w:uiPriority w:val="99"/>
    <w:qFormat/>
    <w:locked/>
    <w:rPr>
      <w:rFonts w:ascii="Courier New" w:hAnsi="Courier New" w:cs="Courier New"/>
    </w:rPr>
  </w:style>
  <w:style w:type="paragraph" w:customStyle="1" w:styleId="green">
    <w:name w:val="green"/>
    <w:basedOn w:val="a5"/>
    <w:qFormat/>
    <w:pPr>
      <w:spacing w:before="100" w:beforeAutospacing="1" w:after="100" w:afterAutospacing="1"/>
    </w:pPr>
    <w:rPr>
      <w:rFonts w:ascii="Verdana" w:eastAsia="Arial Unicode MS" w:hAnsi="Verdana" w:cs="Arial Unicode MS"/>
      <w:b/>
      <w:bCs/>
      <w:color w:val="006666"/>
      <w:sz w:val="20"/>
      <w:szCs w:val="20"/>
    </w:rPr>
  </w:style>
  <w:style w:type="character" w:customStyle="1" w:styleId="SUBST">
    <w:name w:val="__SUBST"/>
    <w:qFormat/>
    <w:rPr>
      <w:b/>
      <w:i/>
      <w:sz w:val="22"/>
    </w:rPr>
  </w:style>
  <w:style w:type="character" w:customStyle="1" w:styleId="basic1">
    <w:name w:val="basic1"/>
    <w:qFormat/>
    <w:rPr>
      <w:rFonts w:ascii="Verdana" w:hAnsi="Verdana"/>
      <w:color w:val="003366"/>
      <w:sz w:val="18"/>
    </w:rPr>
  </w:style>
  <w:style w:type="paragraph" w:customStyle="1" w:styleId="afff9">
    <w:name w:val="Список годового отчета"/>
    <w:basedOn w:val="29"/>
    <w:qFormat/>
    <w:pPr>
      <w:tabs>
        <w:tab w:val="left" w:pos="720"/>
        <w:tab w:val="left" w:pos="1134"/>
        <w:tab w:val="left" w:pos="1209"/>
      </w:tabs>
      <w:spacing w:before="60" w:after="60"/>
      <w:ind w:left="709" w:firstLine="0"/>
    </w:pPr>
    <w:rPr>
      <w:rFonts w:ascii="Arial" w:hAnsi="Arial"/>
      <w:color w:val="000000"/>
      <w:sz w:val="20"/>
    </w:rPr>
  </w:style>
  <w:style w:type="paragraph" w:customStyle="1" w:styleId="ConsPlusNonformat">
    <w:name w:val="ConsPlusNonformat"/>
    <w:qFormat/>
    <w:pPr>
      <w:autoSpaceDE w:val="0"/>
      <w:autoSpaceDN w:val="0"/>
      <w:adjustRightInd w:val="0"/>
    </w:pPr>
    <w:rPr>
      <w:rFonts w:ascii="Courier New" w:eastAsiaTheme="minorEastAsia" w:hAnsi="Courier New" w:cs="Courier New"/>
    </w:rPr>
  </w:style>
  <w:style w:type="paragraph" w:customStyle="1" w:styleId="100FreeStyle">
    <w:name w:val="100 Free Style"/>
    <w:basedOn w:val="a5"/>
    <w:qFormat/>
    <w:pPr>
      <w:overflowPunct w:val="0"/>
      <w:autoSpaceDE w:val="0"/>
      <w:autoSpaceDN w:val="0"/>
      <w:adjustRightInd w:val="0"/>
      <w:spacing w:after="200"/>
      <w:textAlignment w:val="baseline"/>
    </w:pPr>
    <w:rPr>
      <w:rFonts w:ascii="Palatino Linotype" w:hAnsi="Palatino Linotype"/>
      <w:b/>
      <w:bCs/>
      <w:sz w:val="36"/>
      <w:szCs w:val="20"/>
      <w:lang w:val="en-GB" w:eastAsia="en-US"/>
    </w:rPr>
  </w:style>
  <w:style w:type="paragraph" w:customStyle="1" w:styleId="15">
    <w:name w:val="Стиль1"/>
    <w:basedOn w:val="a5"/>
    <w:qFormat/>
    <w:pPr>
      <w:ind w:firstLine="720"/>
      <w:jc w:val="both"/>
    </w:pPr>
    <w:rPr>
      <w:sz w:val="28"/>
      <w:szCs w:val="20"/>
    </w:rPr>
  </w:style>
  <w:style w:type="character" w:customStyle="1" w:styleId="small1">
    <w:name w:val="small1"/>
    <w:qFormat/>
    <w:rPr>
      <w:color w:val="000000"/>
      <w:sz w:val="15"/>
    </w:rPr>
  </w:style>
  <w:style w:type="paragraph" w:customStyle="1" w:styleId="11CharChar2CharCharCharCharCharChar">
    <w:name w:val="Знак Знак1 Знак Знак Знак1 Знак Знак Знак Знак Char Знак Char Знак Знак Знак2 Знак Char Char Знак Знак Char Char Знак Знак Char Char Знак"/>
    <w:basedOn w:val="a5"/>
    <w:qFormat/>
    <w:pPr>
      <w:tabs>
        <w:tab w:val="left" w:pos="360"/>
      </w:tabs>
      <w:spacing w:after="160" w:line="240" w:lineRule="exact"/>
    </w:pPr>
    <w:rPr>
      <w:lang w:val="en-US"/>
    </w:rPr>
  </w:style>
  <w:style w:type="character" w:customStyle="1" w:styleId="normaltext1">
    <w:name w:val="normaltext1"/>
    <w:qFormat/>
    <w:rPr>
      <w:rFonts w:ascii="Tahoma" w:hAnsi="Tahoma"/>
      <w:sz w:val="16"/>
    </w:rPr>
  </w:style>
  <w:style w:type="paragraph" w:customStyle="1" w:styleId="111">
    <w:name w:val="Знак Знак1 Знак Знак1"/>
    <w:basedOn w:val="a5"/>
    <w:qFormat/>
    <w:pPr>
      <w:tabs>
        <w:tab w:val="left" w:pos="360"/>
      </w:tabs>
      <w:spacing w:after="160" w:line="240" w:lineRule="exact"/>
    </w:pPr>
    <w:rPr>
      <w:lang w:val="en-US"/>
    </w:rPr>
  </w:style>
  <w:style w:type="character" w:customStyle="1" w:styleId="HTML0">
    <w:name w:val="Стандартный HTML Знак"/>
    <w:link w:val="HTML"/>
    <w:qFormat/>
    <w:locked/>
    <w:rPr>
      <w:rFonts w:ascii="Courier New" w:hAnsi="Courier New" w:cs="Courier New"/>
    </w:rPr>
  </w:style>
  <w:style w:type="paragraph" w:customStyle="1" w:styleId="Iniiaiieoaeno">
    <w:name w:val="Iniiaiie oaeno"/>
    <w:basedOn w:val="a5"/>
    <w:qFormat/>
    <w:rPr>
      <w:szCs w:val="20"/>
    </w:rPr>
  </w:style>
  <w:style w:type="paragraph" w:customStyle="1" w:styleId="em-">
    <w:name w:val="em-абзац"/>
    <w:basedOn w:val="a5"/>
    <w:link w:val="em-0"/>
    <w:qFormat/>
    <w:pPr>
      <w:ind w:firstLine="567"/>
      <w:jc w:val="both"/>
    </w:pPr>
    <w:rPr>
      <w:sz w:val="22"/>
      <w:szCs w:val="20"/>
    </w:rPr>
  </w:style>
  <w:style w:type="character" w:customStyle="1" w:styleId="em-0">
    <w:name w:val="em-абзац Знак"/>
    <w:link w:val="em-"/>
    <w:qFormat/>
    <w:locked/>
    <w:rPr>
      <w:sz w:val="22"/>
      <w:lang w:val="ru-RU" w:eastAsia="ru-RU"/>
    </w:rPr>
  </w:style>
  <w:style w:type="paragraph" w:customStyle="1" w:styleId="em-1">
    <w:name w:val="em-подраздел"/>
    <w:basedOn w:val="a5"/>
    <w:link w:val="em-2"/>
    <w:qFormat/>
    <w:pPr>
      <w:ind w:firstLine="567"/>
      <w:jc w:val="both"/>
    </w:pPr>
    <w:rPr>
      <w:b/>
      <w:sz w:val="22"/>
      <w:szCs w:val="20"/>
    </w:rPr>
  </w:style>
  <w:style w:type="character" w:customStyle="1" w:styleId="em-2">
    <w:name w:val="em-подраздел Знак"/>
    <w:link w:val="em-1"/>
    <w:qFormat/>
    <w:locked/>
    <w:rPr>
      <w:b/>
      <w:sz w:val="22"/>
      <w:lang w:val="ru-RU" w:eastAsia="ru-RU"/>
    </w:rPr>
  </w:style>
  <w:style w:type="paragraph" w:customStyle="1" w:styleId="em-3">
    <w:name w:val="em-текст сноски"/>
    <w:basedOn w:val="afe"/>
    <w:qFormat/>
    <w:pPr>
      <w:tabs>
        <w:tab w:val="clear" w:pos="1492"/>
        <w:tab w:val="left" w:pos="283"/>
      </w:tabs>
      <w:ind w:left="360" w:firstLine="284"/>
      <w:jc w:val="both"/>
    </w:pPr>
    <w:rPr>
      <w:vanish/>
      <w:sz w:val="16"/>
      <w:szCs w:val="16"/>
    </w:rPr>
  </w:style>
  <w:style w:type="paragraph" w:customStyle="1" w:styleId="16">
    <w:name w:val="Абзац списка1"/>
    <w:basedOn w:val="a5"/>
    <w:qFormat/>
    <w:pPr>
      <w:spacing w:after="200" w:line="276" w:lineRule="auto"/>
      <w:ind w:left="720"/>
      <w:contextualSpacing/>
    </w:pPr>
    <w:rPr>
      <w:rFonts w:ascii="Calibri" w:hAnsi="Calibri"/>
      <w:sz w:val="22"/>
      <w:szCs w:val="22"/>
      <w:lang w:eastAsia="en-US"/>
    </w:rPr>
  </w:style>
  <w:style w:type="paragraph" w:customStyle="1" w:styleId="tabl">
    <w:name w:val="tabl"/>
    <w:basedOn w:val="a5"/>
    <w:qFormat/>
    <w:pPr>
      <w:jc w:val="both"/>
    </w:pPr>
    <w:rPr>
      <w:szCs w:val="20"/>
    </w:rPr>
  </w:style>
  <w:style w:type="paragraph" w:customStyle="1" w:styleId="prilozheniereazdel">
    <w:name w:val="prilozhenie reazdel"/>
    <w:basedOn w:val="a5"/>
    <w:qFormat/>
    <w:pPr>
      <w:spacing w:before="240" w:after="240"/>
      <w:ind w:firstLine="709"/>
      <w:jc w:val="both"/>
    </w:pPr>
    <w:rPr>
      <w:b/>
      <w:szCs w:val="20"/>
    </w:rPr>
  </w:style>
  <w:style w:type="paragraph" w:customStyle="1" w:styleId="afffa">
    <w:name w:val="текст"/>
    <w:basedOn w:val="a5"/>
    <w:qFormat/>
    <w:pPr>
      <w:ind w:firstLine="567"/>
      <w:jc w:val="both"/>
    </w:pPr>
    <w:rPr>
      <w:szCs w:val="20"/>
    </w:rPr>
  </w:style>
  <w:style w:type="paragraph" w:customStyle="1" w:styleId="prilozhenie">
    <w:name w:val="prilozhenie"/>
    <w:basedOn w:val="a5"/>
    <w:qFormat/>
    <w:pPr>
      <w:ind w:firstLine="709"/>
      <w:jc w:val="both"/>
    </w:pPr>
    <w:rPr>
      <w:szCs w:val="20"/>
    </w:rPr>
  </w:style>
  <w:style w:type="paragraph" w:customStyle="1" w:styleId="em-4">
    <w:name w:val="em-пункт"/>
    <w:basedOn w:val="a5"/>
    <w:qFormat/>
    <w:pPr>
      <w:ind w:firstLine="567"/>
      <w:jc w:val="both"/>
    </w:pPr>
    <w:rPr>
      <w:b/>
      <w:sz w:val="22"/>
      <w:szCs w:val="22"/>
    </w:rPr>
  </w:style>
  <w:style w:type="paragraph" w:customStyle="1" w:styleId="afffb">
    <w:name w:val="Знак Знак Знак Знак Знак Знак"/>
    <w:basedOn w:val="a5"/>
    <w:qFormat/>
    <w:pPr>
      <w:tabs>
        <w:tab w:val="left" w:pos="360"/>
      </w:tabs>
      <w:spacing w:after="160" w:line="240" w:lineRule="exact"/>
      <w:ind w:left="360" w:hanging="360"/>
      <w:jc w:val="both"/>
    </w:pPr>
    <w:rPr>
      <w:rFonts w:ascii="Verdana" w:hAnsi="Verdana" w:cs="Verdana"/>
      <w:sz w:val="20"/>
      <w:szCs w:val="20"/>
      <w:lang w:val="en-US" w:eastAsia="en-US"/>
    </w:rPr>
  </w:style>
  <w:style w:type="paragraph" w:customStyle="1" w:styleId="em-5">
    <w:name w:val="em-Раздел"/>
    <w:basedOn w:val="1"/>
    <w:link w:val="em-6"/>
    <w:qFormat/>
    <w:pPr>
      <w:spacing w:before="0" w:after="0"/>
      <w:ind w:firstLine="567"/>
      <w:jc w:val="both"/>
    </w:pPr>
    <w:rPr>
      <w:rFonts w:ascii="Times New Roman" w:hAnsi="Times New Roman"/>
      <w:bCs w:val="0"/>
      <w:sz w:val="22"/>
      <w:szCs w:val="20"/>
      <w:lang w:val="ru-RU" w:eastAsia="ru-RU"/>
    </w:rPr>
  </w:style>
  <w:style w:type="character" w:customStyle="1" w:styleId="em-6">
    <w:name w:val="em-Раздел Знак"/>
    <w:link w:val="em-5"/>
    <w:qFormat/>
    <w:locked/>
    <w:rPr>
      <w:b/>
      <w:kern w:val="32"/>
      <w:sz w:val="22"/>
      <w:lang w:val="ru-RU" w:eastAsia="ru-RU"/>
    </w:rPr>
  </w:style>
  <w:style w:type="paragraph" w:customStyle="1" w:styleId="220">
    <w:name w:val="22"/>
    <w:basedOn w:val="a5"/>
    <w:qFormat/>
    <w:rPr>
      <w:rFonts w:ascii="Arial" w:hAnsi="Arial" w:cs="Arial"/>
      <w:sz w:val="20"/>
      <w:szCs w:val="20"/>
    </w:rPr>
  </w:style>
  <w:style w:type="paragraph" w:styleId="afffc">
    <w:name w:val="No Spacing"/>
    <w:link w:val="afffd"/>
    <w:uiPriority w:val="1"/>
    <w:qFormat/>
    <w:rPr>
      <w:rFonts w:ascii="Calibri" w:eastAsiaTheme="minorEastAsia" w:hAnsi="Calibri"/>
      <w:sz w:val="22"/>
      <w:szCs w:val="22"/>
      <w:lang w:eastAsia="en-US"/>
    </w:rPr>
  </w:style>
  <w:style w:type="paragraph" w:customStyle="1" w:styleId="310">
    <w:name w:val="Основной текст с отступом 31"/>
    <w:basedOn w:val="a5"/>
    <w:qFormat/>
    <w:pPr>
      <w:suppressAutoHyphens/>
      <w:spacing w:before="120"/>
      <w:ind w:firstLine="709"/>
      <w:jc w:val="both"/>
    </w:pPr>
    <w:rPr>
      <w:szCs w:val="20"/>
    </w:rPr>
  </w:style>
  <w:style w:type="paragraph" w:customStyle="1" w:styleId="210">
    <w:name w:val="Основной текст 21"/>
    <w:basedOn w:val="a5"/>
    <w:qFormat/>
    <w:pPr>
      <w:overflowPunct w:val="0"/>
      <w:autoSpaceDE w:val="0"/>
      <w:autoSpaceDN w:val="0"/>
      <w:adjustRightInd w:val="0"/>
      <w:ind w:firstLine="720"/>
      <w:jc w:val="both"/>
      <w:textAlignment w:val="baseline"/>
    </w:pPr>
    <w:rPr>
      <w:szCs w:val="20"/>
    </w:rPr>
  </w:style>
  <w:style w:type="paragraph" w:customStyle="1" w:styleId="11CharChar2CharCharCharCharCharChar1">
    <w:name w:val="Знак Знак1 Знак Знак Знак1 Знак Знак Знак Знак Char Знак Char Знак Знак Знак2 Знак Char Char Знак Знак Char Char Знак Знак Char Char Знак1"/>
    <w:basedOn w:val="a5"/>
    <w:qFormat/>
    <w:pPr>
      <w:tabs>
        <w:tab w:val="left" w:pos="360"/>
      </w:tabs>
      <w:spacing w:after="160" w:line="240" w:lineRule="exact"/>
    </w:pPr>
    <w:rPr>
      <w:lang w:val="en-US"/>
    </w:rPr>
  </w:style>
  <w:style w:type="character" w:customStyle="1" w:styleId="afffe">
    <w:name w:val="Знак Знак"/>
    <w:qFormat/>
    <w:rPr>
      <w:sz w:val="22"/>
      <w:szCs w:val="22"/>
      <w:lang w:val="ru-RU" w:eastAsia="ru-RU" w:bidi="ar-SA"/>
    </w:rPr>
  </w:style>
  <w:style w:type="paragraph" w:customStyle="1" w:styleId="17">
    <w:name w:val="Знак Знак Знак Знак Знак Знак1"/>
    <w:basedOn w:val="a5"/>
    <w:qFormat/>
    <w:pPr>
      <w:tabs>
        <w:tab w:val="left" w:pos="360"/>
      </w:tabs>
      <w:spacing w:after="160" w:line="240" w:lineRule="exact"/>
      <w:ind w:left="360" w:hanging="360"/>
      <w:jc w:val="both"/>
    </w:pPr>
    <w:rPr>
      <w:rFonts w:ascii="Verdana" w:hAnsi="Verdana" w:cs="Verdana"/>
      <w:sz w:val="20"/>
      <w:szCs w:val="20"/>
      <w:lang w:val="en-US" w:eastAsia="en-US"/>
    </w:rPr>
  </w:style>
  <w:style w:type="paragraph" w:customStyle="1" w:styleId="Default">
    <w:name w:val="Default"/>
    <w:qFormat/>
    <w:pPr>
      <w:autoSpaceDE w:val="0"/>
      <w:autoSpaceDN w:val="0"/>
      <w:adjustRightInd w:val="0"/>
    </w:pPr>
    <w:rPr>
      <w:rFonts w:eastAsiaTheme="minorEastAsia"/>
      <w:color w:val="000000"/>
      <w:sz w:val="24"/>
      <w:szCs w:val="24"/>
    </w:rPr>
  </w:style>
  <w:style w:type="paragraph" w:customStyle="1" w:styleId="211">
    <w:name w:val="Основной текст с отступом 21"/>
    <w:basedOn w:val="a5"/>
    <w:qFormat/>
    <w:pPr>
      <w:suppressAutoHyphens/>
      <w:ind w:firstLine="720"/>
      <w:jc w:val="both"/>
    </w:pPr>
    <w:rPr>
      <w:szCs w:val="20"/>
    </w:rPr>
  </w:style>
  <w:style w:type="paragraph" w:customStyle="1" w:styleId="CharChar1">
    <w:name w:val="Char Char1"/>
    <w:basedOn w:val="a5"/>
    <w:qFormat/>
    <w:pPr>
      <w:spacing w:after="160" w:line="240" w:lineRule="exact"/>
    </w:pPr>
    <w:rPr>
      <w:rFonts w:ascii="Verdana" w:hAnsi="Verdana"/>
      <w:sz w:val="20"/>
      <w:szCs w:val="20"/>
      <w:lang w:val="en-US" w:eastAsia="en-US"/>
    </w:rPr>
  </w:style>
  <w:style w:type="paragraph" w:customStyle="1" w:styleId="130">
    <w:name w:val="Знак Знак1 Знак Знак3"/>
    <w:basedOn w:val="a5"/>
    <w:qFormat/>
    <w:pPr>
      <w:tabs>
        <w:tab w:val="left" w:pos="360"/>
      </w:tabs>
      <w:spacing w:after="160" w:line="240" w:lineRule="exact"/>
    </w:pPr>
    <w:rPr>
      <w:lang w:val="en-US"/>
    </w:rPr>
  </w:style>
  <w:style w:type="paragraph" w:customStyle="1" w:styleId="affff">
    <w:name w:val="текст в таблице"/>
    <w:basedOn w:val="afff7"/>
    <w:qFormat/>
    <w:pPr>
      <w:tabs>
        <w:tab w:val="left" w:pos="1287"/>
      </w:tabs>
      <w:jc w:val="left"/>
    </w:pPr>
    <w:rPr>
      <w:rFonts w:cs="Times New Roman"/>
      <w:caps/>
      <w:sz w:val="12"/>
    </w:rPr>
  </w:style>
  <w:style w:type="paragraph" w:customStyle="1" w:styleId="em--">
    <w:name w:val="em-п-пункт"/>
    <w:basedOn w:val="em-4"/>
    <w:qFormat/>
  </w:style>
  <w:style w:type="character" w:customStyle="1" w:styleId="affff0">
    <w:name w:val="Çàãàëîâîê òàáëèöû Знак"/>
    <w:qFormat/>
    <w:locked/>
    <w:rPr>
      <w:sz w:val="22"/>
      <w:szCs w:val="22"/>
      <w:lang w:val="ru-RU" w:eastAsia="ru-RU" w:bidi="ar-SA"/>
    </w:rPr>
  </w:style>
  <w:style w:type="character" w:customStyle="1" w:styleId="apple-converted-space">
    <w:name w:val="apple-converted-space"/>
    <w:qFormat/>
    <w:rPr>
      <w:rFonts w:cs="Times New Roman"/>
    </w:rPr>
  </w:style>
  <w:style w:type="paragraph" w:customStyle="1" w:styleId="affff1">
    <w:name w:val="Вид документа"/>
    <w:basedOn w:val="a5"/>
    <w:link w:val="affff2"/>
    <w:qFormat/>
    <w:pPr>
      <w:widowControl w:val="0"/>
      <w:jc w:val="center"/>
    </w:pPr>
    <w:rPr>
      <w:rFonts w:ascii="Arial" w:hAnsi="Arial"/>
      <w:b/>
      <w:caps/>
      <w:sz w:val="28"/>
      <w:szCs w:val="20"/>
    </w:rPr>
  </w:style>
  <w:style w:type="character" w:customStyle="1" w:styleId="affff2">
    <w:name w:val="Вид документа Знак"/>
    <w:link w:val="affff1"/>
    <w:qFormat/>
    <w:rPr>
      <w:rFonts w:ascii="Arial" w:hAnsi="Arial"/>
      <w:b/>
      <w:caps/>
      <w:sz w:val="28"/>
      <w:lang w:val="ru-RU" w:eastAsia="ru-RU" w:bidi="ar-SA"/>
    </w:rPr>
  </w:style>
  <w:style w:type="character" w:customStyle="1" w:styleId="affe">
    <w:name w:val="Подподпункт договора Знак"/>
    <w:link w:val="a4"/>
    <w:qFormat/>
    <w:rPr>
      <w:rFonts w:ascii="Arial" w:hAnsi="Arial"/>
      <w:lang w:val="zh-CN" w:eastAsia="zh-CN"/>
    </w:rPr>
  </w:style>
  <w:style w:type="paragraph" w:customStyle="1" w:styleId="112">
    <w:name w:val="Абзац списка11"/>
    <w:basedOn w:val="a5"/>
    <w:qFormat/>
    <w:pPr>
      <w:spacing w:after="200" w:line="276" w:lineRule="auto"/>
      <w:ind w:left="720"/>
      <w:contextualSpacing/>
    </w:pPr>
    <w:rPr>
      <w:rFonts w:ascii="Calibri" w:hAnsi="Calibri"/>
      <w:sz w:val="22"/>
      <w:szCs w:val="22"/>
      <w:lang w:eastAsia="en-US"/>
    </w:rPr>
  </w:style>
  <w:style w:type="paragraph" w:customStyle="1" w:styleId="18">
    <w:name w:val="Заголовок оглавления1"/>
    <w:basedOn w:val="1"/>
    <w:next w:val="a5"/>
    <w:uiPriority w:val="39"/>
    <w:semiHidden/>
    <w:unhideWhenUsed/>
    <w:qFormat/>
    <w:pPr>
      <w:keepLines/>
      <w:spacing w:before="480" w:after="0" w:line="276" w:lineRule="auto"/>
      <w:outlineLvl w:val="9"/>
    </w:pPr>
    <w:rPr>
      <w:color w:val="365F91"/>
      <w:kern w:val="0"/>
      <w:sz w:val="28"/>
      <w:szCs w:val="28"/>
    </w:rPr>
  </w:style>
  <w:style w:type="character" w:customStyle="1" w:styleId="70">
    <w:name w:val="Заголовок 7 Знак"/>
    <w:link w:val="7"/>
    <w:uiPriority w:val="9"/>
    <w:semiHidden/>
    <w:qFormat/>
    <w:rPr>
      <w:rFonts w:ascii="Cambria" w:hAnsi="Cambria"/>
      <w:i/>
      <w:iCs/>
      <w:caps/>
      <w:color w:val="943634"/>
      <w:spacing w:val="10"/>
      <w:sz w:val="22"/>
      <w:szCs w:val="22"/>
      <w:lang w:eastAsia="en-US"/>
    </w:rPr>
  </w:style>
  <w:style w:type="character" w:customStyle="1" w:styleId="80">
    <w:name w:val="Заголовок 8 Знак"/>
    <w:link w:val="8"/>
    <w:uiPriority w:val="9"/>
    <w:semiHidden/>
    <w:qFormat/>
    <w:rPr>
      <w:rFonts w:ascii="Cambria" w:hAnsi="Cambria"/>
      <w:caps/>
      <w:spacing w:val="10"/>
      <w:lang w:eastAsia="en-US"/>
    </w:rPr>
  </w:style>
  <w:style w:type="character" w:customStyle="1" w:styleId="90">
    <w:name w:val="Заголовок 9 Знак"/>
    <w:link w:val="9"/>
    <w:uiPriority w:val="9"/>
    <w:semiHidden/>
    <w:qFormat/>
    <w:rPr>
      <w:rFonts w:ascii="Cambria" w:hAnsi="Cambria"/>
      <w:i/>
      <w:iCs/>
      <w:caps/>
      <w:spacing w:val="10"/>
      <w:lang w:eastAsia="en-US"/>
    </w:rPr>
  </w:style>
  <w:style w:type="table" w:customStyle="1" w:styleId="19">
    <w:name w:val="Сетка таблицы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1">
    <w:name w:val="Основной текст с отступом 311"/>
    <w:basedOn w:val="a5"/>
    <w:qFormat/>
    <w:pPr>
      <w:suppressAutoHyphens/>
      <w:spacing w:before="120"/>
      <w:ind w:firstLine="709"/>
      <w:jc w:val="both"/>
    </w:pPr>
    <w:rPr>
      <w:szCs w:val="20"/>
    </w:rPr>
  </w:style>
  <w:style w:type="paragraph" w:customStyle="1" w:styleId="2110">
    <w:name w:val="Основной текст 211"/>
    <w:basedOn w:val="a5"/>
    <w:qFormat/>
    <w:pPr>
      <w:overflowPunct w:val="0"/>
      <w:autoSpaceDE w:val="0"/>
      <w:autoSpaceDN w:val="0"/>
      <w:adjustRightInd w:val="0"/>
      <w:ind w:firstLine="720"/>
      <w:jc w:val="both"/>
      <w:textAlignment w:val="baseline"/>
    </w:pPr>
    <w:rPr>
      <w:szCs w:val="20"/>
    </w:rPr>
  </w:style>
  <w:style w:type="character" w:customStyle="1" w:styleId="1a">
    <w:name w:val="Знак Знак1"/>
    <w:qFormat/>
    <w:rPr>
      <w:sz w:val="22"/>
      <w:szCs w:val="22"/>
      <w:lang w:val="ru-RU" w:eastAsia="ru-RU" w:bidi="ar-SA"/>
    </w:rPr>
  </w:style>
  <w:style w:type="paragraph" w:customStyle="1" w:styleId="2111">
    <w:name w:val="Основной текст с отступом 211"/>
    <w:basedOn w:val="a5"/>
    <w:qFormat/>
    <w:pPr>
      <w:suppressAutoHyphens/>
      <w:ind w:firstLine="720"/>
      <w:jc w:val="both"/>
    </w:pPr>
    <w:rPr>
      <w:szCs w:val="20"/>
    </w:rPr>
  </w:style>
  <w:style w:type="character" w:customStyle="1" w:styleId="affa">
    <w:name w:val="Подзаголовок Знак"/>
    <w:link w:val="aff9"/>
    <w:uiPriority w:val="11"/>
    <w:qFormat/>
    <w:rPr>
      <w:rFonts w:ascii="Cambria" w:hAnsi="Cambria"/>
      <w:caps/>
      <w:spacing w:val="20"/>
      <w:sz w:val="18"/>
      <w:szCs w:val="18"/>
      <w:lang w:eastAsia="en-US"/>
    </w:rPr>
  </w:style>
  <w:style w:type="character" w:customStyle="1" w:styleId="afffd">
    <w:name w:val="Без интервала Знак"/>
    <w:link w:val="afffc"/>
    <w:uiPriority w:val="1"/>
    <w:qFormat/>
    <w:rPr>
      <w:rFonts w:ascii="Calibri" w:hAnsi="Calibri"/>
      <w:sz w:val="22"/>
      <w:szCs w:val="22"/>
      <w:lang w:eastAsia="en-US" w:bidi="ar-SA"/>
    </w:rPr>
  </w:style>
  <w:style w:type="paragraph" w:styleId="affff3">
    <w:name w:val="List Paragraph"/>
    <w:basedOn w:val="a5"/>
    <w:link w:val="affff4"/>
    <w:uiPriority w:val="34"/>
    <w:qFormat/>
    <w:pPr>
      <w:spacing w:after="200" w:line="252" w:lineRule="auto"/>
      <w:ind w:left="720"/>
      <w:contextualSpacing/>
    </w:pPr>
    <w:rPr>
      <w:rFonts w:ascii="Cambria" w:eastAsia="Calibri" w:hAnsi="Cambria"/>
      <w:sz w:val="22"/>
      <w:szCs w:val="22"/>
      <w:lang w:eastAsia="en-US"/>
    </w:rPr>
  </w:style>
  <w:style w:type="paragraph" w:styleId="2b">
    <w:name w:val="Quote"/>
    <w:basedOn w:val="a5"/>
    <w:next w:val="a5"/>
    <w:link w:val="2c"/>
    <w:uiPriority w:val="29"/>
    <w:qFormat/>
    <w:pPr>
      <w:spacing w:after="200" w:line="252" w:lineRule="auto"/>
    </w:pPr>
    <w:rPr>
      <w:rFonts w:ascii="Cambria" w:hAnsi="Cambria"/>
      <w:i/>
      <w:iCs/>
      <w:sz w:val="22"/>
      <w:szCs w:val="22"/>
      <w:lang w:val="zh-CN" w:eastAsia="en-US"/>
    </w:rPr>
  </w:style>
  <w:style w:type="character" w:customStyle="1" w:styleId="2c">
    <w:name w:val="Цитата 2 Знак"/>
    <w:link w:val="2b"/>
    <w:uiPriority w:val="29"/>
    <w:qFormat/>
    <w:rPr>
      <w:rFonts w:ascii="Cambria" w:hAnsi="Cambria"/>
      <w:i/>
      <w:iCs/>
      <w:sz w:val="22"/>
      <w:szCs w:val="22"/>
      <w:lang w:eastAsia="en-US"/>
    </w:rPr>
  </w:style>
  <w:style w:type="paragraph" w:styleId="affff5">
    <w:name w:val="Intense Quote"/>
    <w:basedOn w:val="a5"/>
    <w:next w:val="a5"/>
    <w:link w:val="affff6"/>
    <w:uiPriority w:val="30"/>
    <w:qFormat/>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lang w:val="zh-CN" w:eastAsia="en-US"/>
    </w:rPr>
  </w:style>
  <w:style w:type="character" w:customStyle="1" w:styleId="affff6">
    <w:name w:val="Выделенная цитата Знак"/>
    <w:link w:val="affff5"/>
    <w:uiPriority w:val="30"/>
    <w:qFormat/>
    <w:rPr>
      <w:rFonts w:ascii="Cambria" w:hAnsi="Cambria"/>
      <w:caps/>
      <w:color w:val="622423"/>
      <w:spacing w:val="5"/>
      <w:lang w:eastAsia="en-US"/>
    </w:rPr>
  </w:style>
  <w:style w:type="character" w:customStyle="1" w:styleId="1b">
    <w:name w:val="Слабое выделение1"/>
    <w:uiPriority w:val="19"/>
    <w:qFormat/>
    <w:rPr>
      <w:i/>
      <w:iCs/>
    </w:rPr>
  </w:style>
  <w:style w:type="character" w:customStyle="1" w:styleId="1c">
    <w:name w:val="Сильное выделение1"/>
    <w:uiPriority w:val="21"/>
    <w:qFormat/>
    <w:rPr>
      <w:i/>
      <w:iCs/>
      <w:caps/>
      <w:spacing w:val="10"/>
      <w:sz w:val="20"/>
      <w:szCs w:val="20"/>
    </w:rPr>
  </w:style>
  <w:style w:type="character" w:customStyle="1" w:styleId="1d">
    <w:name w:val="Слабая ссылка1"/>
    <w:uiPriority w:val="31"/>
    <w:qFormat/>
    <w:rPr>
      <w:rFonts w:ascii="Calibri" w:eastAsia="Times New Roman" w:hAnsi="Calibri" w:cs="Times New Roman"/>
      <w:i/>
      <w:iCs/>
      <w:color w:val="622423"/>
    </w:rPr>
  </w:style>
  <w:style w:type="character" w:customStyle="1" w:styleId="1e">
    <w:name w:val="Сильная ссылка1"/>
    <w:uiPriority w:val="32"/>
    <w:qFormat/>
    <w:rPr>
      <w:rFonts w:ascii="Calibri" w:eastAsia="Times New Roman" w:hAnsi="Calibri" w:cs="Times New Roman"/>
      <w:b/>
      <w:bCs/>
      <w:i/>
      <w:iCs/>
      <w:color w:val="622423"/>
    </w:rPr>
  </w:style>
  <w:style w:type="character" w:customStyle="1" w:styleId="1f">
    <w:name w:val="Название книги1"/>
    <w:uiPriority w:val="33"/>
    <w:qFormat/>
    <w:rPr>
      <w:caps/>
      <w:color w:val="622423"/>
      <w:spacing w:val="5"/>
      <w:u w:color="622423"/>
    </w:rPr>
  </w:style>
  <w:style w:type="table" w:customStyle="1" w:styleId="2d">
    <w:name w:val="Сетка таблицы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Текст примечания Знак"/>
    <w:basedOn w:val="a6"/>
    <w:link w:val="af8"/>
    <w:uiPriority w:val="99"/>
    <w:qFormat/>
  </w:style>
  <w:style w:type="character" w:customStyle="1" w:styleId="afb">
    <w:name w:val="Тема примечания Знак"/>
    <w:link w:val="afa"/>
    <w:uiPriority w:val="99"/>
    <w:qFormat/>
    <w:rPr>
      <w:b/>
      <w:bCs/>
    </w:rPr>
  </w:style>
  <w:style w:type="character" w:customStyle="1" w:styleId="BodyTextIndent2Char">
    <w:name w:val="Body Text Indent 2 Char"/>
    <w:qFormat/>
    <w:locked/>
    <w:rPr>
      <w:rFonts w:cs="Times New Roman"/>
      <w:sz w:val="22"/>
      <w:lang w:val="ru-RU" w:eastAsia="ru-RU"/>
    </w:rPr>
  </w:style>
  <w:style w:type="table" w:customStyle="1" w:styleId="72">
    <w:name w:val="Сетка таблицы7"/>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Рецензия1"/>
    <w:hidden/>
    <w:uiPriority w:val="99"/>
    <w:semiHidden/>
    <w:qFormat/>
    <w:rPr>
      <w:rFonts w:ascii="Cambria" w:eastAsia="Calibri" w:hAnsi="Cambria"/>
      <w:sz w:val="22"/>
      <w:szCs w:val="22"/>
      <w:lang w:eastAsia="en-US"/>
    </w:rPr>
  </w:style>
  <w:style w:type="table" w:customStyle="1" w:styleId="140">
    <w:name w:val="Сетка таблицы14"/>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uiPriority w:val="99"/>
    <w:qFormat/>
    <w:rPr>
      <w:rFonts w:ascii="Times New Roman" w:hAnsi="Times New Roman" w:cs="Times New Roman"/>
      <w:sz w:val="22"/>
      <w:szCs w:val="22"/>
    </w:rPr>
  </w:style>
  <w:style w:type="paragraph" w:customStyle="1" w:styleId="320">
    <w:name w:val="Основной текст с отступом 32"/>
    <w:basedOn w:val="a5"/>
    <w:qFormat/>
    <w:pPr>
      <w:suppressAutoHyphens/>
      <w:spacing w:before="120"/>
      <w:ind w:firstLine="709"/>
      <w:jc w:val="both"/>
    </w:pPr>
    <w:rPr>
      <w:szCs w:val="20"/>
    </w:rPr>
  </w:style>
  <w:style w:type="paragraph" w:customStyle="1" w:styleId="330">
    <w:name w:val="Основной текст с отступом 33"/>
    <w:basedOn w:val="a5"/>
    <w:qFormat/>
    <w:pPr>
      <w:suppressAutoHyphens/>
      <w:spacing w:before="120"/>
      <w:ind w:firstLine="709"/>
      <w:jc w:val="both"/>
    </w:pPr>
    <w:rPr>
      <w:szCs w:val="20"/>
    </w:rPr>
  </w:style>
  <w:style w:type="table" w:customStyle="1" w:styleId="180">
    <w:name w:val="Сетка таблицы18"/>
    <w:basedOn w:val="a7"/>
    <w:qFormat/>
    <w:rPr>
      <w:rFonts w:ascii="Cambria" w:eastAsia="Calibri"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7"/>
    <w:qFormat/>
    <w:rPr>
      <w:rFonts w:ascii="Cambria" w:eastAsia="Calibri"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2"/>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2"/>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7"/>
    <w:qFormat/>
    <w:rPr>
      <w:rFonts w:ascii="Cambria" w:eastAsia="Calibri"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
    <w:name w:val="Знак Знак1 Знак Знак2"/>
    <w:basedOn w:val="a5"/>
    <w:qFormat/>
    <w:pPr>
      <w:tabs>
        <w:tab w:val="left" w:pos="360"/>
      </w:tabs>
      <w:spacing w:after="160" w:line="240" w:lineRule="exact"/>
    </w:pPr>
    <w:rPr>
      <w:lang w:val="en-US"/>
    </w:rPr>
  </w:style>
  <w:style w:type="table" w:customStyle="1" w:styleId="73">
    <w:name w:val="Сетка таблицы7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4"/>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Сетка таблицы14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3"/>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3"/>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7"/>
    <w:qFormat/>
    <w:rPr>
      <w:rFonts w:ascii="Cambria" w:eastAsia="Calibri"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7"/>
    <w:qFormat/>
    <w:rPr>
      <w:rFonts w:ascii="Cambria" w:eastAsia="Calibri"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Сетка таблицы110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Сетка таблицы82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1"/>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Сетка таблицы1621"/>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Сетка таблицы1721"/>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Текст концевой сноски Знак"/>
    <w:basedOn w:val="a6"/>
    <w:link w:val="af5"/>
    <w:qFormat/>
  </w:style>
  <w:style w:type="table" w:customStyle="1" w:styleId="270">
    <w:name w:val="Сетка таблицы27"/>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Абзац списка2"/>
    <w:basedOn w:val="a5"/>
    <w:qFormat/>
    <w:pPr>
      <w:spacing w:after="200" w:line="276" w:lineRule="auto"/>
      <w:ind w:left="720"/>
      <w:contextualSpacing/>
    </w:pPr>
    <w:rPr>
      <w:rFonts w:ascii="Calibri" w:hAnsi="Calibri"/>
      <w:sz w:val="22"/>
      <w:szCs w:val="22"/>
      <w:lang w:eastAsia="en-US"/>
    </w:rPr>
  </w:style>
  <w:style w:type="paragraph" w:customStyle="1" w:styleId="340">
    <w:name w:val="Основной текст с отступом 34"/>
    <w:basedOn w:val="a5"/>
    <w:qFormat/>
    <w:pPr>
      <w:suppressAutoHyphens/>
      <w:spacing w:before="120"/>
      <w:ind w:firstLine="709"/>
      <w:jc w:val="both"/>
    </w:pPr>
    <w:rPr>
      <w:szCs w:val="20"/>
    </w:rPr>
  </w:style>
  <w:style w:type="paragraph" w:customStyle="1" w:styleId="222">
    <w:name w:val="Основной текст 22"/>
    <w:basedOn w:val="a5"/>
    <w:qFormat/>
    <w:pPr>
      <w:overflowPunct w:val="0"/>
      <w:autoSpaceDE w:val="0"/>
      <w:autoSpaceDN w:val="0"/>
      <w:adjustRightInd w:val="0"/>
      <w:ind w:firstLine="720"/>
      <w:jc w:val="both"/>
      <w:textAlignment w:val="baseline"/>
    </w:pPr>
    <w:rPr>
      <w:szCs w:val="20"/>
    </w:rPr>
  </w:style>
  <w:style w:type="paragraph" w:customStyle="1" w:styleId="223">
    <w:name w:val="Основной текст с отступом 22"/>
    <w:basedOn w:val="a5"/>
    <w:qFormat/>
    <w:pPr>
      <w:suppressAutoHyphens/>
      <w:ind w:firstLine="720"/>
      <w:jc w:val="both"/>
    </w:pPr>
    <w:rPr>
      <w:szCs w:val="20"/>
    </w:rPr>
  </w:style>
  <w:style w:type="table" w:customStyle="1" w:styleId="115">
    <w:name w:val="Сетка таблицы115"/>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4"/>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4"/>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4"/>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4"/>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
    <w:name w:val="Сетка таблицы104"/>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6"/>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Сетка таблицы124"/>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134"/>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Сетка таблицы144"/>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Сетка таблицы154"/>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Сетка таблицы164"/>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Сетка таблицы174"/>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Сетка таблицы182"/>
    <w:basedOn w:val="a7"/>
    <w:qFormat/>
    <w:rPr>
      <w:rFonts w:ascii="Cambria" w:eastAsia="Calibri"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Сетка таблицы19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2"/>
    <w:basedOn w:val="a7"/>
    <w:qFormat/>
    <w:rPr>
      <w:rFonts w:ascii="Cambria" w:eastAsia="Calibri"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110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Сетка таблицы42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Сетка таблицы82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Сетка таблицы122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Сетка таблицы132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Сетка таблицы142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2">
    <w:name w:val="Сетка таблицы1622"/>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1"/>
    <w:basedOn w:val="a7"/>
    <w:qFormat/>
    <w:rPr>
      <w:rFonts w:ascii="Cambria" w:eastAsia="Calibri"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Сетка таблицы26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Сетка таблицы43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
    <w:name w:val="Сетка таблицы93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Сетка таблицы123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Сетка таблицы133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Сетка таблицы1531"/>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
    <w:name w:val="Сетка таблицы1731"/>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1"/>
    <w:basedOn w:val="a7"/>
    <w:qFormat/>
    <w:rPr>
      <w:rFonts w:ascii="Cambria" w:eastAsia="Calibri"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
    <w:name w:val="Сетка таблицы19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Сетка таблицы131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Сетка таблицы141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
    <w:name w:val="Сетка таблицы16111"/>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7"/>
    <w:qFormat/>
    <w:rPr>
      <w:rFonts w:ascii="Cambria" w:eastAsia="Calibri"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
    <w:name w:val="Сетка таблицы110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
    <w:name w:val="Сетка таблицы82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
    <w:name w:val="Сетка таблицы92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
    <w:name w:val="Сетка таблицы102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1">
    <w:name w:val="Сетка таблицы132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Сетка таблицы142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1">
    <w:name w:val="Сетка таблицы15211"/>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1">
    <w:name w:val="Сетка таблицы16211"/>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1">
    <w:name w:val="Сетка таблицы17211"/>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7"/>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5"/>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5"/>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5"/>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5"/>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85"/>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5"/>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5"/>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Сетка таблицы118"/>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5"/>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Сетка таблицы135"/>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Сетка таблицы145"/>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Сетка таблицы155"/>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183"/>
    <w:basedOn w:val="a7"/>
    <w:qFormat/>
    <w:rPr>
      <w:rFonts w:ascii="Cambria" w:eastAsia="Calibri"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
    <w:name w:val="Сетка таблицы19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Сетка таблицы51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Сетка таблицы71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Сетка таблицы91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Сетка таблицы203"/>
    <w:basedOn w:val="a7"/>
    <w:qFormat/>
    <w:rPr>
      <w:rFonts w:ascii="Cambria" w:eastAsia="Calibri"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
    <w:name w:val="Сетка таблицы110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Сетка таблицы32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Сетка таблицы42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Сетка таблицы52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Сетка таблицы62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
    <w:name w:val="Сетка таблицы72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
    <w:name w:val="Сетка таблицы82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етка таблицы122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132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Сетка таблицы142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3"/>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3">
    <w:name w:val="Сетка таблицы1623"/>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1723"/>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етка таблицы243"/>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7"/>
    <w:qFormat/>
    <w:rPr>
      <w:rFonts w:ascii="Cambria" w:eastAsia="Calibri"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Сетка таблицы113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етка таблицы43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Сетка таблицы53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
    <w:name w:val="Сетка таблицы83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
    <w:name w:val="Сетка таблицы93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
    <w:name w:val="Сетка таблицы103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Сетка таблицы123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Сетка таблицы133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2">
    <w:name w:val="Сетка таблицы1532"/>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2">
    <w:name w:val="Сетка таблицы1732"/>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7"/>
    <w:qFormat/>
    <w:rPr>
      <w:rFonts w:ascii="Cambria" w:eastAsia="Calibri"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Сетка таблицы19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Сетка таблицы41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Сетка таблицы61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Сетка таблицы111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Сетка таблицы131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2">
    <w:name w:val="Сетка таблицы17112"/>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7"/>
    <w:qFormat/>
    <w:rPr>
      <w:rFonts w:ascii="Cambria" w:eastAsia="Calibri"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2">
    <w:name w:val="Сетка таблицы110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Сетка таблицы42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
    <w:name w:val="Сетка таблицы52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82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2">
    <w:name w:val="Сетка таблицы92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2">
    <w:name w:val="Сетка таблицы102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Сетка таблицы122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2">
    <w:name w:val="Сетка таблицы132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2">
    <w:name w:val="Сетка таблицы142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2">
    <w:name w:val="Сетка таблицы15212"/>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2">
    <w:name w:val="Сетка таблицы16212"/>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2">
    <w:name w:val="Сетка таблицы17212"/>
    <w:basedOn w:val="a7"/>
    <w:uiPriority w:val="5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Схема документа Знак"/>
    <w:link w:val="afc"/>
    <w:qFormat/>
    <w:rPr>
      <w:rFonts w:ascii="Tahoma" w:hAnsi="Tahoma" w:cs="Tahoma"/>
      <w:sz w:val="16"/>
      <w:szCs w:val="16"/>
    </w:rPr>
  </w:style>
  <w:style w:type="paragraph" w:customStyle="1" w:styleId="Style3">
    <w:name w:val="Style3"/>
    <w:basedOn w:val="a5"/>
    <w:uiPriority w:val="99"/>
    <w:qFormat/>
    <w:pPr>
      <w:widowControl w:val="0"/>
      <w:autoSpaceDE w:val="0"/>
      <w:autoSpaceDN w:val="0"/>
      <w:adjustRightInd w:val="0"/>
      <w:spacing w:line="271" w:lineRule="exact"/>
      <w:jc w:val="both"/>
    </w:pPr>
  </w:style>
  <w:style w:type="paragraph" w:customStyle="1" w:styleId="slicetext">
    <w:name w:val="slice__text"/>
    <w:basedOn w:val="a5"/>
    <w:qFormat/>
    <w:pPr>
      <w:spacing w:before="100" w:beforeAutospacing="1" w:after="100" w:afterAutospacing="1"/>
    </w:pPr>
    <w:rPr>
      <w:rFonts w:ascii="Times" w:eastAsia="Calibri" w:hAnsi="Times"/>
      <w:sz w:val="20"/>
      <w:szCs w:val="20"/>
    </w:rPr>
  </w:style>
  <w:style w:type="paragraph" w:customStyle="1" w:styleId="ConsPlusTitle">
    <w:name w:val="ConsPlusTitle"/>
    <w:uiPriority w:val="99"/>
    <w:qFormat/>
    <w:pPr>
      <w:widowControl w:val="0"/>
      <w:autoSpaceDE w:val="0"/>
      <w:autoSpaceDN w:val="0"/>
      <w:adjustRightInd w:val="0"/>
    </w:pPr>
    <w:rPr>
      <w:rFonts w:ascii="Arial" w:eastAsiaTheme="minorEastAsia" w:hAnsi="Arial" w:cs="Arial"/>
      <w:b/>
      <w:bCs/>
      <w:sz w:val="24"/>
      <w:szCs w:val="24"/>
    </w:rPr>
  </w:style>
  <w:style w:type="paragraph" w:customStyle="1" w:styleId="ConsPlusDocList">
    <w:name w:val="ConsPlusDocList"/>
    <w:uiPriority w:val="99"/>
    <w:qFormat/>
    <w:pPr>
      <w:widowControl w:val="0"/>
      <w:autoSpaceDE w:val="0"/>
      <w:autoSpaceDN w:val="0"/>
      <w:adjustRightInd w:val="0"/>
    </w:pPr>
    <w:rPr>
      <w:rFonts w:ascii="Tahoma" w:eastAsiaTheme="minorEastAsia" w:hAnsi="Tahoma" w:cs="Tahoma"/>
      <w:sz w:val="18"/>
      <w:szCs w:val="18"/>
    </w:rPr>
  </w:style>
  <w:style w:type="paragraph" w:customStyle="1" w:styleId="ConsPlusTitlePage">
    <w:name w:val="ConsPlusTitlePage"/>
    <w:uiPriority w:val="99"/>
    <w:qFormat/>
    <w:pPr>
      <w:widowControl w:val="0"/>
      <w:autoSpaceDE w:val="0"/>
      <w:autoSpaceDN w:val="0"/>
      <w:adjustRightInd w:val="0"/>
    </w:pPr>
    <w:rPr>
      <w:rFonts w:ascii="Tahoma" w:eastAsiaTheme="minorEastAsia" w:hAnsi="Tahoma" w:cs="Tahoma"/>
      <w:sz w:val="24"/>
      <w:szCs w:val="24"/>
    </w:rPr>
  </w:style>
  <w:style w:type="paragraph" w:customStyle="1" w:styleId="ConsPlusJurTerm">
    <w:name w:val="ConsPlusJurTerm"/>
    <w:uiPriority w:val="99"/>
    <w:qFormat/>
    <w:pPr>
      <w:widowControl w:val="0"/>
      <w:autoSpaceDE w:val="0"/>
      <w:autoSpaceDN w:val="0"/>
      <w:adjustRightInd w:val="0"/>
    </w:pPr>
    <w:rPr>
      <w:rFonts w:eastAsiaTheme="minorEastAsia"/>
      <w:sz w:val="24"/>
      <w:szCs w:val="24"/>
    </w:rPr>
  </w:style>
  <w:style w:type="paragraph" w:customStyle="1" w:styleId="ConsPlusTextList">
    <w:name w:val="ConsPlusTextList"/>
    <w:uiPriority w:val="99"/>
    <w:qFormat/>
    <w:pPr>
      <w:widowControl w:val="0"/>
      <w:autoSpaceDE w:val="0"/>
      <w:autoSpaceDN w:val="0"/>
      <w:adjustRightInd w:val="0"/>
    </w:pPr>
    <w:rPr>
      <w:rFonts w:eastAsiaTheme="minorEastAsia"/>
      <w:sz w:val="24"/>
      <w:szCs w:val="24"/>
    </w:rPr>
  </w:style>
  <w:style w:type="paragraph" w:customStyle="1" w:styleId="ConsPlusTextList1">
    <w:name w:val="ConsPlusTextList1"/>
    <w:uiPriority w:val="99"/>
    <w:qFormat/>
    <w:pPr>
      <w:widowControl w:val="0"/>
      <w:autoSpaceDE w:val="0"/>
      <w:autoSpaceDN w:val="0"/>
      <w:adjustRightInd w:val="0"/>
    </w:pPr>
    <w:rPr>
      <w:rFonts w:eastAsiaTheme="minorEastAsia"/>
      <w:sz w:val="24"/>
      <w:szCs w:val="24"/>
    </w:rPr>
  </w:style>
  <w:style w:type="table" w:customStyle="1" w:styleId="300">
    <w:name w:val="Сетка таблицы30"/>
    <w:basedOn w:val="a7"/>
    <w:uiPriority w:val="39"/>
    <w:qFormat/>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7"/>
    <w:uiPriority w:val="39"/>
    <w:qFormat/>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4">
    <w:name w:val="Абзац списка Знак"/>
    <w:link w:val="affff3"/>
    <w:uiPriority w:val="34"/>
    <w:qFormat/>
    <w:locked/>
    <w:rPr>
      <w:rFonts w:ascii="Cambria" w:eastAsia="Calibri" w:hAnsi="Cambria"/>
      <w:sz w:val="22"/>
      <w:szCs w:val="22"/>
      <w:lang w:eastAsia="en-US"/>
    </w:rPr>
  </w:style>
  <w:style w:type="paragraph" w:customStyle="1" w:styleId="a2">
    <w:name w:val="Уровень третий"/>
    <w:basedOn w:val="a5"/>
    <w:uiPriority w:val="99"/>
    <w:qFormat/>
    <w:pPr>
      <w:numPr>
        <w:ilvl w:val="2"/>
        <w:numId w:val="17"/>
      </w:numPr>
      <w:jc w:val="both"/>
    </w:pPr>
    <w:rPr>
      <w:rFonts w:ascii="Arial" w:hAnsi="Arial" w:cs="Arial"/>
      <w:bCs/>
      <w:color w:val="000000"/>
      <w:sz w:val="22"/>
      <w:szCs w:val="20"/>
    </w:rPr>
  </w:style>
  <w:style w:type="paragraph" w:customStyle="1" w:styleId="a1">
    <w:name w:val="Уровень второй"/>
    <w:basedOn w:val="a5"/>
    <w:uiPriority w:val="99"/>
    <w:qFormat/>
    <w:pPr>
      <w:numPr>
        <w:ilvl w:val="1"/>
        <w:numId w:val="17"/>
      </w:numPr>
      <w:jc w:val="both"/>
    </w:pPr>
    <w:rPr>
      <w:rFonts w:ascii="Arial" w:hAnsi="Arial" w:cs="Arial"/>
      <w:bCs/>
      <w:color w:val="000000"/>
      <w:sz w:val="22"/>
      <w:szCs w:val="20"/>
    </w:rPr>
  </w:style>
  <w:style w:type="table" w:customStyle="1" w:styleId="370">
    <w:name w:val="Сетка таблицы37"/>
    <w:basedOn w:val="a7"/>
    <w:uiPriority w:val="39"/>
    <w:qFormat/>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7"/>
    <w:uiPriority w:val="39"/>
    <w:qFormat/>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9"/>
    <w:basedOn w:val="a7"/>
    <w:uiPriority w:val="39"/>
    <w:qFormat/>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0">
    <w:name w:val="Сетка таблицы40"/>
    <w:basedOn w:val="a7"/>
    <w:uiPriority w:val="39"/>
    <w:qFormat/>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6"/>
    <w:basedOn w:val="a7"/>
    <w:uiPriority w:val="39"/>
    <w:qFormat/>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7"/>
    <w:basedOn w:val="a7"/>
    <w:uiPriority w:val="39"/>
    <w:qFormat/>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Сетка таблицы48"/>
    <w:basedOn w:val="a7"/>
    <w:uiPriority w:val="39"/>
    <w:qFormat/>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Рецензия2"/>
    <w:hidden/>
    <w:uiPriority w:val="99"/>
    <w:semiHidden/>
    <w:qFormat/>
    <w:rPr>
      <w:rFonts w:eastAsiaTheme="minorEastAsia"/>
      <w:sz w:val="24"/>
      <w:szCs w:val="24"/>
    </w:rPr>
  </w:style>
  <w:style w:type="paragraph" w:customStyle="1" w:styleId="3a">
    <w:name w:val="3. Раздел"/>
    <w:basedOn w:val="a5"/>
    <w:qFormat/>
    <w:pPr>
      <w:keepNext/>
      <w:keepLines/>
      <w:widowControl w:val="0"/>
      <w:spacing w:before="240" w:after="200"/>
      <w:ind w:left="2966" w:hanging="1406"/>
    </w:pPr>
    <w:rPr>
      <w:rFonts w:ascii="Arial" w:hAnsi="Arial"/>
      <w:b/>
      <w:caps/>
      <w:sz w:val="20"/>
      <w:szCs w:val="20"/>
    </w:rPr>
  </w:style>
  <w:style w:type="paragraph" w:customStyle="1" w:styleId="49">
    <w:name w:val="4. Пункт"/>
    <w:basedOn w:val="a5"/>
    <w:qFormat/>
    <w:pPr>
      <w:widowControl w:val="0"/>
      <w:tabs>
        <w:tab w:val="left" w:pos="705"/>
      </w:tabs>
      <w:ind w:left="705" w:hanging="705"/>
      <w:jc w:val="both"/>
    </w:pPr>
    <w:rPr>
      <w:rFonts w:ascii="Arial CYR" w:hAnsi="Arial CYR" w:cs="Arial CYR"/>
      <w:color w:val="000000"/>
      <w:sz w:val="20"/>
      <w:szCs w:val="20"/>
    </w:rPr>
  </w:style>
  <w:style w:type="paragraph" w:customStyle="1" w:styleId="56">
    <w:name w:val="5. Подпункт"/>
    <w:basedOn w:val="a5"/>
    <w:link w:val="57"/>
    <w:qFormat/>
    <w:pPr>
      <w:tabs>
        <w:tab w:val="left" w:pos="720"/>
      </w:tabs>
      <w:ind w:left="720" w:hanging="720"/>
      <w:jc w:val="both"/>
    </w:pPr>
    <w:rPr>
      <w:rFonts w:ascii="Arial" w:hAnsi="Arial"/>
      <w:sz w:val="20"/>
      <w:szCs w:val="20"/>
    </w:rPr>
  </w:style>
  <w:style w:type="character" w:customStyle="1" w:styleId="57">
    <w:name w:val="5. Подпункт Знак"/>
    <w:link w:val="56"/>
    <w:qFormat/>
    <w:rPr>
      <w:rFonts w:ascii="Arial" w:hAnsi="Arial"/>
    </w:rPr>
  </w:style>
  <w:style w:type="paragraph" w:customStyle="1" w:styleId="markdowntext">
    <w:name w:val="markdowntext"/>
    <w:basedOn w:val="a5"/>
    <w:qFormat/>
    <w:pPr>
      <w:spacing w:before="100" w:beforeAutospacing="1" w:after="100" w:afterAutospacing="1"/>
    </w:pPr>
    <w:rPr>
      <w:rFonts w:eastAsiaTheme="minorHAnsi"/>
    </w:rPr>
  </w:style>
  <w:style w:type="paragraph" w:customStyle="1" w:styleId="xmsonormal">
    <w:name w:val="x_msonormal"/>
    <w:basedOn w:val="a5"/>
    <w:qFormat/>
    <w:rPr>
      <w:rFonts w:ascii="Calibri" w:eastAsiaTheme="minorHAnsi" w:hAnsi="Calibri" w:cs="Calibri"/>
      <w:sz w:val="22"/>
      <w:szCs w:val="22"/>
    </w:rPr>
  </w:style>
  <w:style w:type="character" w:customStyle="1" w:styleId="1f1">
    <w:name w:val="Неразрешенное упоминание1"/>
    <w:basedOn w:val="a6"/>
    <w:uiPriority w:val="99"/>
    <w:semiHidden/>
    <w:unhideWhenUsed/>
    <w:qFormat/>
    <w:rPr>
      <w:color w:val="605E5C"/>
      <w:shd w:val="clear" w:color="auto" w:fill="E1DFDD"/>
    </w:rPr>
  </w:style>
  <w:style w:type="paragraph" w:customStyle="1" w:styleId="3b">
    <w:name w:val="Рецензия3"/>
    <w:hidden/>
    <w:uiPriority w:val="99"/>
    <w:semiHidden/>
    <w:qFormat/>
    <w:rPr>
      <w:rFonts w:eastAsiaTheme="minorEastAsia"/>
      <w:sz w:val="24"/>
      <w:szCs w:val="24"/>
    </w:rPr>
  </w:style>
  <w:style w:type="paragraph" w:styleId="affff7">
    <w:name w:val="Revision"/>
    <w:hidden/>
    <w:uiPriority w:val="99"/>
    <w:semiHidden/>
    <w:rsid w:val="0010331C"/>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78870">
      <w:bodyDiv w:val="1"/>
      <w:marLeft w:val="0"/>
      <w:marRight w:val="0"/>
      <w:marTop w:val="0"/>
      <w:marBottom w:val="0"/>
      <w:divBdr>
        <w:top w:val="none" w:sz="0" w:space="0" w:color="auto"/>
        <w:left w:val="none" w:sz="0" w:space="0" w:color="auto"/>
        <w:bottom w:val="none" w:sz="0" w:space="0" w:color="auto"/>
        <w:right w:val="none" w:sz="0" w:space="0" w:color="auto"/>
      </w:divBdr>
    </w:div>
    <w:div w:id="757671904">
      <w:bodyDiv w:val="1"/>
      <w:marLeft w:val="0"/>
      <w:marRight w:val="0"/>
      <w:marTop w:val="0"/>
      <w:marBottom w:val="0"/>
      <w:divBdr>
        <w:top w:val="none" w:sz="0" w:space="0" w:color="auto"/>
        <w:left w:val="none" w:sz="0" w:space="0" w:color="auto"/>
        <w:bottom w:val="none" w:sz="0" w:space="0" w:color="auto"/>
        <w:right w:val="none" w:sz="0" w:space="0" w:color="auto"/>
      </w:divBdr>
      <w:divsChild>
        <w:div w:id="1073821702">
          <w:marLeft w:val="0"/>
          <w:marRight w:val="0"/>
          <w:marTop w:val="0"/>
          <w:marBottom w:val="120"/>
          <w:divBdr>
            <w:top w:val="none" w:sz="0" w:space="0" w:color="auto"/>
            <w:left w:val="none" w:sz="0" w:space="0" w:color="auto"/>
            <w:bottom w:val="none" w:sz="0" w:space="0" w:color="auto"/>
            <w:right w:val="none" w:sz="0" w:space="0" w:color="auto"/>
          </w:divBdr>
        </w:div>
        <w:div w:id="1320039949">
          <w:marLeft w:val="0"/>
          <w:marRight w:val="0"/>
          <w:marTop w:val="0"/>
          <w:marBottom w:val="120"/>
          <w:divBdr>
            <w:top w:val="none" w:sz="0" w:space="0" w:color="auto"/>
            <w:left w:val="none" w:sz="0" w:space="0" w:color="auto"/>
            <w:bottom w:val="none" w:sz="0" w:space="0" w:color="auto"/>
            <w:right w:val="none" w:sz="0" w:space="0" w:color="auto"/>
          </w:divBdr>
        </w:div>
      </w:divsChild>
    </w:div>
    <w:div w:id="764569220">
      <w:bodyDiv w:val="1"/>
      <w:marLeft w:val="0"/>
      <w:marRight w:val="0"/>
      <w:marTop w:val="0"/>
      <w:marBottom w:val="0"/>
      <w:divBdr>
        <w:top w:val="none" w:sz="0" w:space="0" w:color="auto"/>
        <w:left w:val="none" w:sz="0" w:space="0" w:color="auto"/>
        <w:bottom w:val="none" w:sz="0" w:space="0" w:color="auto"/>
        <w:right w:val="none" w:sz="0" w:space="0" w:color="auto"/>
      </w:divBdr>
    </w:div>
    <w:div w:id="1506163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disclosure.ru/portal/company.aspx?id=156"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uralsib.ru/o-banke/documenty-i-otchetnost/otchetnost-po-msf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596ABD421B5BF05147DCFC5C4FDE50642A3841E2628D4E750FA93B8BEA54029CBB976427B16A50Fv2IDM" TargetMode="Externa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hyperlink" Target="https://uralsib.ru/o-banke/documenty-i-otchetnost/ustav-i-vnutrennie-dokumenty-banka" TargetMode="External"/><Relationship Id="rId4" Type="http://schemas.openxmlformats.org/officeDocument/2006/relationships/styles" Target="styles.xml"/><Relationship Id="rId9" Type="http://schemas.openxmlformats.org/officeDocument/2006/relationships/hyperlink" Target="http://wwwuralsib.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8F94D1-3527-4938-81B9-80FA3A556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39238</Words>
  <Characters>223658</Characters>
  <Application>Microsoft Office Word</Application>
  <DocSecurity>0</DocSecurity>
  <Lines>1863</Lines>
  <Paragraphs>524</Paragraphs>
  <ScaleCrop>false</ScaleCrop>
  <HeadingPairs>
    <vt:vector size="2" baseType="variant">
      <vt:variant>
        <vt:lpstr>Название</vt:lpstr>
      </vt:variant>
      <vt:variant>
        <vt:i4>1</vt:i4>
      </vt:variant>
    </vt:vector>
  </HeadingPairs>
  <TitlesOfParts>
    <vt:vector size="1" baseType="lpstr">
      <vt:lpstr>Годовой отчет ОАО «УРАЛСИБ» за 2005 год</vt:lpstr>
    </vt:vector>
  </TitlesOfParts>
  <Company>ОАО "УРАЛСИБ"</Company>
  <LinksUpToDate>false</LinksUpToDate>
  <CharactersWithSpaces>262372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Годовой отчет ОАО «УРАЛСИБ» за 2005 год</dc:title>
  <dc:creator>Image</dc:creator>
  <cp:lastModifiedBy>Пользователь Windows</cp:lastModifiedBy>
  <cp:revision>4</cp:revision>
  <cp:lastPrinted>2020-03-26T10:48:00Z</cp:lastPrinted>
  <dcterms:created xsi:type="dcterms:W3CDTF">2026-06-26T09:41:00Z</dcterms:created>
  <dcterms:modified xsi:type="dcterms:W3CDTF">2026-06-29T08:56:00Z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1049-12.1.0.25862</vt:lpwstr>
  </property>
  <property fmtid="{D5CDD505-2E9C-101B-9397-08002B2CF9AE}" pid="3" name="ICV">
    <vt:lpwstr>245EA49EE1D54DFF81E259D83E5CDB6F_13</vt:lpwstr>
  </property>
  <property fmtid="{D5CDD505-2E9C-101B-9397-08002B2CF9AE}" pid="4" name="KSOTemplateDocerSaveRecord">
    <vt:lpwstr>eyJoZGlkIjoiODBjNmZiZmVhMmRkNzZiZmM1ODY2OWY4MjQwMjllYTQiLCJ1c2VySWQiOiI4NDIyNDkyNjI1MTMifQ==</vt:lpwstr>
  </property>
</Properties>
</file>